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4AA73" w14:textId="47B902C5" w:rsidR="00140305" w:rsidRPr="004B1F83" w:rsidRDefault="00140305" w:rsidP="004B1F83">
      <w:pPr>
        <w:pStyle w:val="Heading1"/>
        <w:jc w:val="center"/>
        <w:rPr>
          <w:b/>
          <w:bCs/>
        </w:rPr>
      </w:pPr>
      <w:r w:rsidRPr="004B1F83">
        <w:rPr>
          <w:b/>
          <w:bCs/>
          <w:color w:val="000000" w:themeColor="text1"/>
        </w:rPr>
        <w:t>Political Science Pays Off</w:t>
      </w:r>
    </w:p>
    <w:p w14:paraId="1BDCACAA" w14:textId="43DF00BD" w:rsidR="00607C5B" w:rsidRDefault="00607C5B" w:rsidP="00607C5B">
      <w:pPr>
        <w:spacing w:after="0" w:line="240" w:lineRule="auto"/>
        <w:jc w:val="center"/>
        <w:rPr>
          <w:b/>
          <w:bCs/>
        </w:rPr>
      </w:pPr>
      <w:r>
        <w:rPr>
          <w:b/>
          <w:bCs/>
        </w:rPr>
        <w:t>Dr. Jesse Richman</w:t>
      </w:r>
    </w:p>
    <w:p w14:paraId="139C7409" w14:textId="77777777" w:rsidR="00607C5B" w:rsidRPr="00607C5B" w:rsidRDefault="00607C5B" w:rsidP="00607C5B">
      <w:pPr>
        <w:spacing w:after="0" w:line="240" w:lineRule="auto"/>
        <w:jc w:val="center"/>
        <w:rPr>
          <w:b/>
          <w:bCs/>
        </w:rPr>
      </w:pPr>
      <w:r w:rsidRPr="00607C5B">
        <w:rPr>
          <w:b/>
          <w:bCs/>
        </w:rPr>
        <w:t>Associate Professor</w:t>
      </w:r>
    </w:p>
    <w:p w14:paraId="491F2B63" w14:textId="741C2CD9" w:rsidR="00607C5B" w:rsidRDefault="00607C5B" w:rsidP="00607C5B">
      <w:pPr>
        <w:spacing w:after="0" w:line="240" w:lineRule="auto"/>
        <w:jc w:val="center"/>
        <w:rPr>
          <w:b/>
          <w:bCs/>
        </w:rPr>
      </w:pPr>
      <w:r w:rsidRPr="00607C5B">
        <w:rPr>
          <w:b/>
          <w:bCs/>
        </w:rPr>
        <w:t>Political Science &amp; Geography</w:t>
      </w:r>
    </w:p>
    <w:p w14:paraId="3EE4977B" w14:textId="0D606DA9" w:rsidR="00607C5B" w:rsidRDefault="00607C5B" w:rsidP="009301C6">
      <w:pPr>
        <w:spacing w:after="0" w:line="240" w:lineRule="auto"/>
        <w:jc w:val="center"/>
        <w:rPr>
          <w:b/>
          <w:bCs/>
        </w:rPr>
      </w:pPr>
      <w:r>
        <w:rPr>
          <w:b/>
          <w:bCs/>
        </w:rPr>
        <w:t>Old Dominion University</w:t>
      </w:r>
      <w:r w:rsidR="009301C6">
        <w:rPr>
          <w:b/>
          <w:bCs/>
        </w:rPr>
        <w:br/>
      </w:r>
    </w:p>
    <w:p w14:paraId="103434E3" w14:textId="76E18099" w:rsidR="00607C5B" w:rsidRPr="00F424A7" w:rsidRDefault="00D46BA7" w:rsidP="00D46BA7">
      <w:pPr>
        <w:tabs>
          <w:tab w:val="center" w:pos="4680"/>
          <w:tab w:val="left" w:pos="7710"/>
        </w:tabs>
        <w:rPr>
          <w:b/>
          <w:bCs/>
        </w:rPr>
      </w:pPr>
      <w:r>
        <w:rPr>
          <w:b/>
          <w:bCs/>
        </w:rPr>
        <w:tab/>
      </w:r>
      <w:r w:rsidR="00607C5B">
        <w:rPr>
          <w:b/>
          <w:bCs/>
        </w:rPr>
        <w:t>24 August 2026</w:t>
      </w:r>
      <w:r>
        <w:rPr>
          <w:b/>
          <w:bCs/>
        </w:rPr>
        <w:tab/>
      </w:r>
    </w:p>
    <w:p w14:paraId="03B08BE0" w14:textId="77777777" w:rsidR="00140305" w:rsidRPr="009301C6" w:rsidRDefault="00140305">
      <w:pPr>
        <w:rPr>
          <w:rFonts w:ascii="Times New Roman" w:hAnsi="Times New Roman" w:cs="Times New Roman"/>
        </w:rPr>
      </w:pPr>
      <w:r w:rsidRPr="009301C6">
        <w:rPr>
          <w:rFonts w:ascii="Times New Roman" w:hAnsi="Times New Roman" w:cs="Times New Roman"/>
        </w:rPr>
        <w:t xml:space="preserve">Considering a major in political science? Your interest may be spurred by the desire to understand politics, or the wish to make the world a better place, or your plans to attend law school, or by your understanding of the fundamental importance of power, justice, and law in shaping the kind of society we live in. But you are making a good choice financially as well. </w:t>
      </w:r>
    </w:p>
    <w:p w14:paraId="188CF350" w14:textId="19F4B45C" w:rsidR="00140305" w:rsidRPr="009301C6" w:rsidRDefault="00140305">
      <w:pPr>
        <w:rPr>
          <w:rFonts w:ascii="Times New Roman" w:hAnsi="Times New Roman" w:cs="Times New Roman"/>
        </w:rPr>
      </w:pPr>
      <w:r w:rsidRPr="009301C6">
        <w:rPr>
          <w:rFonts w:ascii="Times New Roman" w:hAnsi="Times New Roman" w:cs="Times New Roman"/>
        </w:rPr>
        <w:t xml:space="preserve">The </w:t>
      </w:r>
      <w:hyperlink r:id="rId6" w:history="1">
        <w:r w:rsidRPr="00CD30F0">
          <w:rPr>
            <w:rStyle w:val="Hyperlink"/>
            <w:rFonts w:ascii="Times New Roman" w:hAnsi="Times New Roman" w:cs="Times New Roman"/>
          </w:rPr>
          <w:t>Foundation for Research on Equal Opportunity</w:t>
        </w:r>
      </w:hyperlink>
      <w:r w:rsidRPr="009301C6">
        <w:rPr>
          <w:rFonts w:ascii="Times New Roman" w:hAnsi="Times New Roman" w:cs="Times New Roman"/>
        </w:rPr>
        <w:t xml:space="preserve"> (</w:t>
      </w:r>
      <w:hyperlink r:id="rId7" w:history="1">
        <w:r w:rsidR="00CD30F0" w:rsidRPr="00E03338">
          <w:rPr>
            <w:rStyle w:val="Hyperlink"/>
            <w:rFonts w:ascii="Times New Roman" w:hAnsi="Times New Roman" w:cs="Times New Roman"/>
          </w:rPr>
          <w:t xml:space="preserve">also available </w:t>
        </w:r>
        <w:r w:rsidR="00E03338" w:rsidRPr="00E03338">
          <w:rPr>
            <w:rStyle w:val="Hyperlink"/>
            <w:rFonts w:ascii="Times New Roman" w:hAnsi="Times New Roman" w:cs="Times New Roman"/>
          </w:rPr>
          <w:t>here</w:t>
        </w:r>
      </w:hyperlink>
      <w:r w:rsidR="00E03338">
        <w:rPr>
          <w:rFonts w:ascii="Times New Roman" w:hAnsi="Times New Roman" w:cs="Times New Roman"/>
        </w:rPr>
        <w:t xml:space="preserve">) </w:t>
      </w:r>
      <w:r w:rsidRPr="009301C6">
        <w:rPr>
          <w:rFonts w:ascii="Times New Roman" w:hAnsi="Times New Roman" w:cs="Times New Roman"/>
        </w:rPr>
        <w:t xml:space="preserve">has analyzed reams of college score card and census data to assess how people with different majors do financially. </w:t>
      </w:r>
      <w:r w:rsidR="00B333B9" w:rsidRPr="009301C6">
        <w:rPr>
          <w:rFonts w:ascii="Times New Roman" w:hAnsi="Times New Roman" w:cs="Times New Roman"/>
        </w:rPr>
        <w:t xml:space="preserve"> They construct counter-factual analyses to compare earnings with a degree and </w:t>
      </w:r>
      <w:proofErr w:type="gramStart"/>
      <w:r w:rsidR="00B333B9" w:rsidRPr="009301C6">
        <w:rPr>
          <w:rFonts w:ascii="Times New Roman" w:hAnsi="Times New Roman" w:cs="Times New Roman"/>
        </w:rPr>
        <w:t>without</w:t>
      </w:r>
      <w:r w:rsidR="00F15C09" w:rsidRPr="009301C6">
        <w:rPr>
          <w:rFonts w:ascii="Times New Roman" w:hAnsi="Times New Roman" w:cs="Times New Roman"/>
        </w:rPr>
        <w:t>, and</w:t>
      </w:r>
      <w:proofErr w:type="gramEnd"/>
      <w:r w:rsidR="00F15C09" w:rsidRPr="009301C6">
        <w:rPr>
          <w:rFonts w:ascii="Times New Roman" w:hAnsi="Times New Roman" w:cs="Times New Roman"/>
        </w:rPr>
        <w:t xml:space="preserve"> net out the cost of tuition and fees</w:t>
      </w:r>
      <w:r w:rsidR="00B333B9" w:rsidRPr="009301C6">
        <w:rPr>
          <w:rFonts w:ascii="Times New Roman" w:hAnsi="Times New Roman" w:cs="Times New Roman"/>
        </w:rPr>
        <w:t xml:space="preserve">. The graph below shows </w:t>
      </w:r>
      <w:r w:rsidR="005A0768" w:rsidRPr="009301C6">
        <w:rPr>
          <w:rFonts w:ascii="Times New Roman" w:hAnsi="Times New Roman" w:cs="Times New Roman"/>
        </w:rPr>
        <w:t xml:space="preserve">the ROI for selected majors based on their </w:t>
      </w:r>
      <w:r w:rsidR="00F15C09" w:rsidRPr="009301C6">
        <w:rPr>
          <w:rFonts w:ascii="Times New Roman" w:hAnsi="Times New Roman" w:cs="Times New Roman"/>
        </w:rPr>
        <w:t>data</w:t>
      </w:r>
      <w:r w:rsidR="00B333B9" w:rsidRPr="009301C6">
        <w:rPr>
          <w:rFonts w:ascii="Times New Roman" w:hAnsi="Times New Roman" w:cs="Times New Roman"/>
        </w:rPr>
        <w:t xml:space="preserve">: </w:t>
      </w:r>
    </w:p>
    <w:p w14:paraId="28D1EAED" w14:textId="69516880" w:rsidR="00B333B9" w:rsidRPr="009301C6" w:rsidRDefault="005A0768">
      <w:pPr>
        <w:rPr>
          <w:rFonts w:ascii="Times New Roman" w:hAnsi="Times New Roman" w:cs="Times New Roman"/>
        </w:rPr>
      </w:pPr>
      <w:r w:rsidRPr="009301C6">
        <w:rPr>
          <w:rFonts w:ascii="Times New Roman" w:hAnsi="Times New Roman" w:cs="Times New Roman"/>
          <w:noProof/>
        </w:rPr>
        <w:drawing>
          <wp:inline distT="0" distB="0" distL="0" distR="0" wp14:anchorId="7322F01B" wp14:editId="3604B4AA">
            <wp:extent cx="5267325" cy="4062413"/>
            <wp:effectExtent l="0" t="0" r="15875" b="14605"/>
            <wp:docPr id="1970409223" name="Chart 1" descr="This bar chart displays the median return on investment (ROI) by college major, sourced from the Foundation for Research on Equal Opportunity (freopp.org), ranked from lowest to highest ROI. Fine Arts shows a negative ROI (around -$150,000), Education is only slightly positive, and ROI climbs progressively through fields like Biology, Psychology, and History, reaching the highest values for Mathematics, Physical Sciences, Business and Finance, and Political Science, each exceeding $200,000.">
              <a:extLst xmlns:a="http://schemas.openxmlformats.org/drawingml/2006/main">
                <a:ext uri="{FF2B5EF4-FFF2-40B4-BE49-F238E27FC236}">
                  <a16:creationId xmlns:a16="http://schemas.microsoft.com/office/drawing/2014/main" id="{CFFE0309-BCB4-CF5F-8042-FD7D4EF51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C9A5C2A" w14:textId="4696EEE4" w:rsidR="005A0768" w:rsidRPr="009301C6" w:rsidRDefault="005A0768">
      <w:pPr>
        <w:rPr>
          <w:rFonts w:ascii="Times New Roman" w:hAnsi="Times New Roman" w:cs="Times New Roman"/>
        </w:rPr>
      </w:pPr>
      <w:r w:rsidRPr="009301C6">
        <w:rPr>
          <w:rFonts w:ascii="Times New Roman" w:hAnsi="Times New Roman" w:cs="Times New Roman"/>
        </w:rPr>
        <w:lastRenderedPageBreak/>
        <w:t>Political Science has a large return on investment (ROI). By investing your time and tuition dollars in a political science major, you end up more than one quarter of a million dollars better off</w:t>
      </w:r>
      <w:r w:rsidR="007A1816" w:rsidRPr="009301C6">
        <w:rPr>
          <w:rFonts w:ascii="Times New Roman" w:hAnsi="Times New Roman" w:cs="Times New Roman"/>
        </w:rPr>
        <w:t>: more than $262 thousand</w:t>
      </w:r>
      <w:r w:rsidRPr="009301C6">
        <w:rPr>
          <w:rFonts w:ascii="Times New Roman" w:hAnsi="Times New Roman" w:cs="Times New Roman"/>
        </w:rPr>
        <w:t xml:space="preserve">.  </w:t>
      </w:r>
    </w:p>
    <w:p w14:paraId="240DDC76" w14:textId="77777777" w:rsidR="005A0768" w:rsidRPr="009301C6" w:rsidRDefault="005A0768">
      <w:pPr>
        <w:rPr>
          <w:rFonts w:ascii="Times New Roman" w:hAnsi="Times New Roman" w:cs="Times New Roman"/>
        </w:rPr>
      </w:pPr>
      <w:r w:rsidRPr="009301C6">
        <w:rPr>
          <w:rFonts w:ascii="Times New Roman" w:hAnsi="Times New Roman" w:cs="Times New Roman"/>
        </w:rPr>
        <w:t xml:space="preserve">There are a few majors I didn’t show with higher ROI (engineering, computer science, nursing, and economics) but compared to the rest of the majors, political science has a better return on investment. </w:t>
      </w:r>
    </w:p>
    <w:p w14:paraId="2830BE4B" w14:textId="27577067" w:rsidR="005A0768" w:rsidRPr="009301C6" w:rsidRDefault="005A0768">
      <w:pPr>
        <w:rPr>
          <w:rFonts w:ascii="Times New Roman" w:hAnsi="Times New Roman" w:cs="Times New Roman"/>
        </w:rPr>
      </w:pPr>
      <w:r w:rsidRPr="009301C6">
        <w:rPr>
          <w:rFonts w:ascii="Times New Roman" w:hAnsi="Times New Roman" w:cs="Times New Roman"/>
        </w:rPr>
        <w:t xml:space="preserve">Compare this with the median ROI for sociology, which is </w:t>
      </w:r>
      <w:r w:rsidR="007A1816" w:rsidRPr="009301C6">
        <w:rPr>
          <w:rFonts w:ascii="Times New Roman" w:hAnsi="Times New Roman" w:cs="Times New Roman"/>
        </w:rPr>
        <w:t xml:space="preserve">under $125 thousand, and the median ROI for History at under $88 thousand, or the ROI for English at under $54 thousand.  Or Psychology at under $63 thousand. </w:t>
      </w:r>
    </w:p>
    <w:p w14:paraId="201477F8" w14:textId="06399B1B" w:rsidR="007A1816" w:rsidRPr="009301C6" w:rsidRDefault="007A1816">
      <w:pPr>
        <w:rPr>
          <w:rFonts w:ascii="Times New Roman" w:hAnsi="Times New Roman" w:cs="Times New Roman"/>
        </w:rPr>
      </w:pPr>
      <w:r w:rsidRPr="009301C6">
        <w:rPr>
          <w:rFonts w:ascii="Times New Roman" w:hAnsi="Times New Roman" w:cs="Times New Roman"/>
        </w:rPr>
        <w:t xml:space="preserve">But what about those who say you should pursue studies in natural science or business – something more technical or more practical? We would take issue with the claim that political science isn’t technical or practical but be that as it may, political science majors once again perform well. The median ROI for business and finance is slightly lower than political science (under $258 thousand).  The median ROI for physical sciences is substantially lower (under $215 thousand).  Political science has more than twice the ROI for non-nursing health majors (they are under $119 thousand).  And it vastly exceeds the ROI for biology (which is less than $52 thousand). </w:t>
      </w:r>
    </w:p>
    <w:p w14:paraId="7A63B9EE" w14:textId="44639B61" w:rsidR="00F424A7" w:rsidRPr="009301C6" w:rsidRDefault="00F424A7">
      <w:pPr>
        <w:rPr>
          <w:rFonts w:ascii="Times New Roman" w:hAnsi="Times New Roman" w:cs="Times New Roman"/>
        </w:rPr>
      </w:pPr>
      <w:r w:rsidRPr="009301C6">
        <w:rPr>
          <w:rFonts w:ascii="Times New Roman" w:hAnsi="Times New Roman" w:cs="Times New Roman"/>
          <w:noProof/>
        </w:rPr>
        <w:drawing>
          <wp:inline distT="0" distB="0" distL="0" distR="0" wp14:anchorId="3C4CB560" wp14:editId="6577D068">
            <wp:extent cx="5271770" cy="4343400"/>
            <wp:effectExtent l="0" t="0" r="11430" b="12700"/>
            <wp:docPr id="726711222" name="Chart 1" descr="This bar chart shows return on investment (ROI) by major specifically at Old Dominion University (ODU), sourced from the Cicero Institute's Virginia Higher Education Transparency Database, ordered from lowest to highest ROI. Drama/Theatre Arts and Stagecraft shows a substantial negative ROI (roughly -$300,000), several humanities and health-related majors cluster near zero or modestly positive, while Political Science and Government, Marketing, Geography and Cartography, and Mathematics yield the highest returns, each above $200,000.">
              <a:extLst xmlns:a="http://schemas.openxmlformats.org/drawingml/2006/main">
                <a:ext uri="{FF2B5EF4-FFF2-40B4-BE49-F238E27FC236}">
                  <a16:creationId xmlns:a16="http://schemas.microsoft.com/office/drawing/2014/main" id="{C1A14E30-0D79-7518-8AF5-9C725C11D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7C79A8" w14:textId="77777777" w:rsidR="00E03338" w:rsidRPr="009301C6" w:rsidRDefault="00E03338" w:rsidP="00E03338">
      <w:pPr>
        <w:rPr>
          <w:rFonts w:ascii="Times New Roman" w:hAnsi="Times New Roman" w:cs="Times New Roman"/>
        </w:rPr>
      </w:pPr>
      <w:r w:rsidRPr="009301C6">
        <w:rPr>
          <w:rFonts w:ascii="Times New Roman" w:hAnsi="Times New Roman" w:cs="Times New Roman"/>
        </w:rPr>
        <w:lastRenderedPageBreak/>
        <w:t>The upshot is that Political Science is a good investment. Political science and government majors earn more on average and achieve a higher return on their tuition investment than business majors, marketing majors, physical sciences majors, and biology majors, among many others.</w:t>
      </w:r>
    </w:p>
    <w:p w14:paraId="3854230F" w14:textId="77777777" w:rsidR="00E03338" w:rsidRPr="009301C6" w:rsidRDefault="00E03338" w:rsidP="00E03338">
      <w:pPr>
        <w:rPr>
          <w:rFonts w:ascii="Times New Roman" w:hAnsi="Times New Roman" w:cs="Times New Roman"/>
        </w:rPr>
      </w:pPr>
      <w:r w:rsidRPr="009301C6">
        <w:rPr>
          <w:rFonts w:ascii="Times New Roman" w:hAnsi="Times New Roman" w:cs="Times New Roman"/>
        </w:rPr>
        <w:t>But what about ODU-specific numbers?  The Cicero Institute has a database of ROI estimates for majors at ODU (</w:t>
      </w:r>
      <w:hyperlink r:id="rId10" w:history="1">
        <w:r w:rsidRPr="009301C6">
          <w:rPr>
            <w:rStyle w:val="Hyperlink"/>
            <w:rFonts w:ascii="Times New Roman" w:hAnsi="Times New Roman" w:cs="Times New Roman"/>
          </w:rPr>
          <w:t>https://ciceroinstitute.org/college/virginia-higher-education-transparency-database/</w:t>
        </w:r>
      </w:hyperlink>
      <w:r w:rsidRPr="009301C6">
        <w:rPr>
          <w:rFonts w:ascii="Times New Roman" w:hAnsi="Times New Roman" w:cs="Times New Roman"/>
        </w:rPr>
        <w:t xml:space="preserve">).  Once again Political Science performs very well.  The graph below shows their Return on Investment estimates for students who complete a degree across a range of majors at ODU.  The ODU political science ROI is very similar to the national estimate discussed above. </w:t>
      </w:r>
    </w:p>
    <w:p w14:paraId="40AB1735" w14:textId="77777777" w:rsidR="007A1816" w:rsidRPr="009301C6" w:rsidRDefault="007A1816">
      <w:pPr>
        <w:rPr>
          <w:rFonts w:ascii="Times New Roman" w:hAnsi="Times New Roman" w:cs="Times New Roman"/>
        </w:rPr>
      </w:pPr>
    </w:p>
    <w:sectPr w:rsidR="007A1816" w:rsidRPr="009301C6" w:rsidSect="002C1262">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7029" w14:textId="77777777" w:rsidR="00B74B8B" w:rsidRDefault="00B74B8B" w:rsidP="00E03338">
      <w:pPr>
        <w:spacing w:after="0" w:line="240" w:lineRule="auto"/>
      </w:pPr>
      <w:r>
        <w:separator/>
      </w:r>
    </w:p>
  </w:endnote>
  <w:endnote w:type="continuationSeparator" w:id="0">
    <w:p w14:paraId="30BBE72F" w14:textId="77777777" w:rsidR="00B74B8B" w:rsidRDefault="00B74B8B" w:rsidP="00E0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847584"/>
      <w:docPartObj>
        <w:docPartGallery w:val="Page Numbers (Bottom of Page)"/>
        <w:docPartUnique/>
      </w:docPartObj>
    </w:sdtPr>
    <w:sdtEndPr>
      <w:rPr>
        <w:noProof/>
      </w:rPr>
    </w:sdtEndPr>
    <w:sdtContent>
      <w:p w14:paraId="0A9B2615" w14:textId="054BCCF0" w:rsidR="00E03338" w:rsidRDefault="00E033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772848" w14:textId="77777777" w:rsidR="00E03338" w:rsidRDefault="00E03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DFA0" w14:textId="77777777" w:rsidR="00B74B8B" w:rsidRDefault="00B74B8B" w:rsidP="00E03338">
      <w:pPr>
        <w:spacing w:after="0" w:line="240" w:lineRule="auto"/>
      </w:pPr>
      <w:r>
        <w:separator/>
      </w:r>
    </w:p>
  </w:footnote>
  <w:footnote w:type="continuationSeparator" w:id="0">
    <w:p w14:paraId="07EA8D33" w14:textId="77777777" w:rsidR="00B74B8B" w:rsidRDefault="00B74B8B" w:rsidP="00E03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5298" w14:textId="47B81D62" w:rsidR="00E03338" w:rsidRDefault="00E03338">
    <w:pPr>
      <w:pStyle w:val="Header"/>
      <w:jc w:val="center"/>
    </w:pPr>
  </w:p>
  <w:p w14:paraId="53C7A0AF" w14:textId="77777777" w:rsidR="00E03338" w:rsidRDefault="00E03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708A" w14:textId="68B71AA2" w:rsidR="002C1262" w:rsidRDefault="002C1262">
    <w:pPr>
      <w:pStyle w:val="Header"/>
    </w:pPr>
    <w:r>
      <w:rPr>
        <w:noProof/>
      </w:rPr>
      <w:drawing>
        <wp:inline distT="0" distB="0" distL="0" distR="0" wp14:anchorId="43697CA2" wp14:editId="5BDB0F4C">
          <wp:extent cx="1476375" cy="619258"/>
          <wp:effectExtent l="0" t="0" r="0" b="9525"/>
          <wp:docPr id="1103029963" name="Picture 1" descr="ODU signature logo with cr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U signature logo with crow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0" cy="63310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05"/>
    <w:rsid w:val="00140305"/>
    <w:rsid w:val="00193675"/>
    <w:rsid w:val="002204D2"/>
    <w:rsid w:val="00276829"/>
    <w:rsid w:val="002C1262"/>
    <w:rsid w:val="00422F32"/>
    <w:rsid w:val="004B1F83"/>
    <w:rsid w:val="005A0768"/>
    <w:rsid w:val="005A193D"/>
    <w:rsid w:val="00607C5B"/>
    <w:rsid w:val="007A1816"/>
    <w:rsid w:val="008356D8"/>
    <w:rsid w:val="009301C6"/>
    <w:rsid w:val="00993053"/>
    <w:rsid w:val="00B333B9"/>
    <w:rsid w:val="00B74B8B"/>
    <w:rsid w:val="00C9496A"/>
    <w:rsid w:val="00CD30F0"/>
    <w:rsid w:val="00D46BA7"/>
    <w:rsid w:val="00E03338"/>
    <w:rsid w:val="00F15C09"/>
    <w:rsid w:val="00F42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71BCB"/>
  <w15:chartTrackingRefBased/>
  <w15:docId w15:val="{161A3460-04DE-4B96-BF1C-B8E8A35B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3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3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3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3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3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3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3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3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3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3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3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3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3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3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3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3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3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305"/>
    <w:rPr>
      <w:rFonts w:eastAsiaTheme="majorEastAsia" w:cstheme="majorBidi"/>
      <w:color w:val="272727" w:themeColor="text1" w:themeTint="D8"/>
    </w:rPr>
  </w:style>
  <w:style w:type="paragraph" w:styleId="Title">
    <w:name w:val="Title"/>
    <w:basedOn w:val="Normal"/>
    <w:next w:val="Normal"/>
    <w:link w:val="TitleChar"/>
    <w:uiPriority w:val="10"/>
    <w:qFormat/>
    <w:rsid w:val="001403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3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3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3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305"/>
    <w:pPr>
      <w:spacing w:before="160"/>
      <w:jc w:val="center"/>
    </w:pPr>
    <w:rPr>
      <w:i/>
      <w:iCs/>
      <w:color w:val="404040" w:themeColor="text1" w:themeTint="BF"/>
    </w:rPr>
  </w:style>
  <w:style w:type="character" w:customStyle="1" w:styleId="QuoteChar">
    <w:name w:val="Quote Char"/>
    <w:basedOn w:val="DefaultParagraphFont"/>
    <w:link w:val="Quote"/>
    <w:uiPriority w:val="29"/>
    <w:rsid w:val="00140305"/>
    <w:rPr>
      <w:i/>
      <w:iCs/>
      <w:color w:val="404040" w:themeColor="text1" w:themeTint="BF"/>
    </w:rPr>
  </w:style>
  <w:style w:type="paragraph" w:styleId="ListParagraph">
    <w:name w:val="List Paragraph"/>
    <w:basedOn w:val="Normal"/>
    <w:uiPriority w:val="34"/>
    <w:qFormat/>
    <w:rsid w:val="00140305"/>
    <w:pPr>
      <w:ind w:left="720"/>
      <w:contextualSpacing/>
    </w:pPr>
  </w:style>
  <w:style w:type="character" w:styleId="IntenseEmphasis">
    <w:name w:val="Intense Emphasis"/>
    <w:basedOn w:val="DefaultParagraphFont"/>
    <w:uiPriority w:val="21"/>
    <w:qFormat/>
    <w:rsid w:val="00140305"/>
    <w:rPr>
      <w:i/>
      <w:iCs/>
      <w:color w:val="0F4761" w:themeColor="accent1" w:themeShade="BF"/>
    </w:rPr>
  </w:style>
  <w:style w:type="paragraph" w:styleId="IntenseQuote">
    <w:name w:val="Intense Quote"/>
    <w:basedOn w:val="Normal"/>
    <w:next w:val="Normal"/>
    <w:link w:val="IntenseQuoteChar"/>
    <w:uiPriority w:val="30"/>
    <w:qFormat/>
    <w:rsid w:val="001403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305"/>
    <w:rPr>
      <w:i/>
      <w:iCs/>
      <w:color w:val="0F4761" w:themeColor="accent1" w:themeShade="BF"/>
    </w:rPr>
  </w:style>
  <w:style w:type="character" w:styleId="IntenseReference">
    <w:name w:val="Intense Reference"/>
    <w:basedOn w:val="DefaultParagraphFont"/>
    <w:uiPriority w:val="32"/>
    <w:qFormat/>
    <w:rsid w:val="00140305"/>
    <w:rPr>
      <w:b/>
      <w:bCs/>
      <w:smallCaps/>
      <w:color w:val="0F4761" w:themeColor="accent1" w:themeShade="BF"/>
      <w:spacing w:val="5"/>
    </w:rPr>
  </w:style>
  <w:style w:type="character" w:styleId="Hyperlink">
    <w:name w:val="Hyperlink"/>
    <w:basedOn w:val="DefaultParagraphFont"/>
    <w:uiPriority w:val="99"/>
    <w:unhideWhenUsed/>
    <w:rsid w:val="00140305"/>
    <w:rPr>
      <w:color w:val="467886" w:themeColor="hyperlink"/>
      <w:u w:val="single"/>
    </w:rPr>
  </w:style>
  <w:style w:type="character" w:styleId="UnresolvedMention">
    <w:name w:val="Unresolved Mention"/>
    <w:basedOn w:val="DefaultParagraphFont"/>
    <w:uiPriority w:val="99"/>
    <w:semiHidden/>
    <w:unhideWhenUsed/>
    <w:rsid w:val="00140305"/>
    <w:rPr>
      <w:color w:val="605E5C"/>
      <w:shd w:val="clear" w:color="auto" w:fill="E1DFDD"/>
    </w:rPr>
  </w:style>
  <w:style w:type="paragraph" w:styleId="Header">
    <w:name w:val="header"/>
    <w:basedOn w:val="Normal"/>
    <w:link w:val="HeaderChar"/>
    <w:uiPriority w:val="99"/>
    <w:unhideWhenUsed/>
    <w:rsid w:val="00E03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338"/>
  </w:style>
  <w:style w:type="paragraph" w:styleId="Footer">
    <w:name w:val="footer"/>
    <w:basedOn w:val="Normal"/>
    <w:link w:val="FooterChar"/>
    <w:uiPriority w:val="99"/>
    <w:unhideWhenUsed/>
    <w:rsid w:val="00E03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freopp.org/whitepapers/does-college-pay-off-a-comprehensive-return-on-investment-analysi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eopp.org/roi-in-higher-education/roi-undergraduate/"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ciceroinstitute.org/college/virginia-higher-education-transparency-database/" TargetMode="External"/><Relationship Id="rId4" Type="http://schemas.openxmlformats.org/officeDocument/2006/relationships/footnotes" Target="footnotes.xml"/><Relationship Id="rId9" Type="http://schemas.openxmlformats.org/officeDocument/2006/relationships/chart" Target="charts/chart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olddominion-my.sharepoint.com/personal/jrichman_odu_edu/Documents/2024-2025%20Academic%20Year/ROI%20by%20major%20at%20OD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olddominion-my.sharepoint.com/personal/jrichman_odu_edu/Documents/2024-2025%20Academic%20Year/ROI%20by%20major%20at%20OD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Median return</a:t>
            </a:r>
            <a:r>
              <a:rPr lang="en-US" baseline="0"/>
              <a:t> on investment (ROI) by major</a:t>
            </a:r>
          </a:p>
          <a:p>
            <a:pPr>
              <a:defRPr/>
            </a:pPr>
            <a:r>
              <a:rPr lang="en-US" baseline="0"/>
              <a:t>Source: Foundation for Research on Equal Opportunity freopp.org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alpha val="30000"/>
              </a:schemeClr>
            </a:solidFill>
            <a:ln>
              <a:noFill/>
            </a:ln>
            <a:effectLst/>
          </c:spPr>
          <c:invertIfNegative val="0"/>
          <c:cat>
            <c:strRef>
              <c:f>Sheet4!$A$4:$A$18</c:f>
              <c:strCache>
                <c:ptCount val="15"/>
                <c:pt idx="0">
                  <c:v>Political Science</c:v>
                </c:pt>
                <c:pt idx="1">
                  <c:v>Business and Finance</c:v>
                </c:pt>
                <c:pt idx="2">
                  <c:v>Physical Sciences</c:v>
                </c:pt>
                <c:pt idx="3">
                  <c:v>Mathematics</c:v>
                </c:pt>
                <c:pt idx="4">
                  <c:v>Misc. Public Service</c:v>
                </c:pt>
                <c:pt idx="5">
                  <c:v>Sociology and other Social Science</c:v>
                </c:pt>
                <c:pt idx="6">
                  <c:v>Communication and Journalism</c:v>
                </c:pt>
                <c:pt idx="7">
                  <c:v>Health (excluding Nursing)</c:v>
                </c:pt>
                <c:pt idx="8">
                  <c:v>History</c:v>
                </c:pt>
                <c:pt idx="9">
                  <c:v>Psychology and Social Work</c:v>
                </c:pt>
                <c:pt idx="10">
                  <c:v>Misc. Humanities</c:v>
                </c:pt>
                <c:pt idx="11">
                  <c:v>English and Linguistics</c:v>
                </c:pt>
                <c:pt idx="12">
                  <c:v>Biology and Life Sciences</c:v>
                </c:pt>
                <c:pt idx="13">
                  <c:v>Education</c:v>
                </c:pt>
                <c:pt idx="14">
                  <c:v>Fine Arts</c:v>
                </c:pt>
              </c:strCache>
            </c:strRef>
          </c:cat>
          <c:val>
            <c:numRef>
              <c:f>Sheet4!$B$4:$B$18</c:f>
              <c:numCache>
                <c:formatCode>"$"#,##0_);[Red]\("$"#,##0\)</c:formatCode>
                <c:ptCount val="15"/>
                <c:pt idx="0">
                  <c:v>262292</c:v>
                </c:pt>
                <c:pt idx="1">
                  <c:v>257991</c:v>
                </c:pt>
                <c:pt idx="2">
                  <c:v>214840</c:v>
                </c:pt>
                <c:pt idx="3">
                  <c:v>192804</c:v>
                </c:pt>
                <c:pt idx="4">
                  <c:v>127726</c:v>
                </c:pt>
                <c:pt idx="5">
                  <c:v>124907</c:v>
                </c:pt>
                <c:pt idx="6">
                  <c:v>119543</c:v>
                </c:pt>
                <c:pt idx="7">
                  <c:v>118984</c:v>
                </c:pt>
                <c:pt idx="8">
                  <c:v>87684</c:v>
                </c:pt>
                <c:pt idx="9">
                  <c:v>62804</c:v>
                </c:pt>
                <c:pt idx="10">
                  <c:v>60587</c:v>
                </c:pt>
                <c:pt idx="11">
                  <c:v>53761</c:v>
                </c:pt>
                <c:pt idx="12">
                  <c:v>51932</c:v>
                </c:pt>
                <c:pt idx="13">
                  <c:v>12588</c:v>
                </c:pt>
                <c:pt idx="14">
                  <c:v>-88505</c:v>
                </c:pt>
              </c:numCache>
            </c:numRef>
          </c:val>
          <c:extLst>
            <c:ext xmlns:c16="http://schemas.microsoft.com/office/drawing/2014/chart" uri="{C3380CC4-5D6E-409C-BE32-E72D297353CC}">
              <c16:uniqueId val="{00000000-C89E-4408-A8FB-EC31EA9EBBC8}"/>
            </c:ext>
          </c:extLst>
        </c:ser>
        <c:dLbls>
          <c:showLegendKey val="0"/>
          <c:showVal val="0"/>
          <c:showCatName val="0"/>
          <c:showSerName val="0"/>
          <c:showPercent val="0"/>
          <c:showBubbleSize val="0"/>
        </c:dLbls>
        <c:gapWidth val="182"/>
        <c:axId val="1438890592"/>
        <c:axId val="1438888192"/>
      </c:barChart>
      <c:catAx>
        <c:axId val="1438890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888192"/>
        <c:crosses val="autoZero"/>
        <c:auto val="1"/>
        <c:lblAlgn val="ctr"/>
        <c:lblOffset val="100"/>
        <c:noMultiLvlLbl val="0"/>
      </c:catAx>
      <c:valAx>
        <c:axId val="1438888192"/>
        <c:scaling>
          <c:orientation val="minMax"/>
        </c:scaling>
        <c:delete val="0"/>
        <c:axPos val="b"/>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890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Return on Investment by ODU Major. </a:t>
            </a:r>
          </a:p>
          <a:p>
            <a:pPr>
              <a:defRPr/>
            </a:pPr>
            <a:r>
              <a:rPr lang="en-US"/>
              <a:t>Source: </a:t>
            </a:r>
            <a:r>
              <a:rPr lang="en-US" sz="1400" b="0" i="0" u="sng" strike="noStrike" baseline="0">
                <a:effectLst/>
                <a:hlinkClick xmlns:r="http://schemas.openxmlformats.org/officeDocument/2006/relationships" r:id=""/>
              </a:rPr>
              <a:t>https://ciceroinstitute.org/college/virginia-higher-education-transparency-database/</a:t>
            </a:r>
            <a:r>
              <a:rPr lang="en-US" sz="1400" b="0" i="0" u="none" strike="noStrike" baseline="0">
                <a:effectLst/>
              </a:rPr>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alpha val="30000"/>
              </a:schemeClr>
            </a:solidFill>
            <a:ln>
              <a:noFill/>
            </a:ln>
            <a:effectLst/>
          </c:spPr>
          <c:invertIfNegative val="0"/>
          <c:cat>
            <c:strRef>
              <c:f>Sheet3!$A$4:$A$24</c:f>
              <c:strCache>
                <c:ptCount val="21"/>
                <c:pt idx="0">
                  <c:v>Political Science and Government</c:v>
                </c:pt>
                <c:pt idx="1">
                  <c:v>Marketing</c:v>
                </c:pt>
                <c:pt idx="2">
                  <c:v>Geography and Cartography</c:v>
                </c:pt>
                <c:pt idx="3">
                  <c:v>Mathematics</c:v>
                </c:pt>
                <c:pt idx="4">
                  <c:v>Rhetoric and Composition/Writing Studies</c:v>
                </c:pt>
                <c:pt idx="5">
                  <c:v>Linguistic, Comparative, and Related Language Studies and Services</c:v>
                </c:pt>
                <c:pt idx="6">
                  <c:v>Psychology, General</c:v>
                </c:pt>
                <c:pt idx="7">
                  <c:v>Geological and Earth Sciences/Geosciences</c:v>
                </c:pt>
                <c:pt idx="8">
                  <c:v>Multi/Interdisciplinary Studies, Other</c:v>
                </c:pt>
                <c:pt idx="9">
                  <c:v>English Language and Literature, General</c:v>
                </c:pt>
                <c:pt idx="10">
                  <c:v>Parks, Recreation and Leisure Facilities Management</c:v>
                </c:pt>
                <c:pt idx="11">
                  <c:v>Criminology</c:v>
                </c:pt>
                <c:pt idx="12">
                  <c:v>History</c:v>
                </c:pt>
                <c:pt idx="13">
                  <c:v>Sociology</c:v>
                </c:pt>
                <c:pt idx="14">
                  <c:v>Communication Disorders Sciences and Services</c:v>
                </c:pt>
                <c:pt idx="15">
                  <c:v>Teacher Education and Professional Development, Specific Subject Areas</c:v>
                </c:pt>
                <c:pt idx="16">
                  <c:v>Mental and Social Health Services and Allied Professions</c:v>
                </c:pt>
                <c:pt idx="17">
                  <c:v>Fine and Studio Arts</c:v>
                </c:pt>
                <c:pt idx="18">
                  <c:v>Biology, General</c:v>
                </c:pt>
                <c:pt idx="19">
                  <c:v>Music</c:v>
                </c:pt>
                <c:pt idx="20">
                  <c:v>Drama/Theatre Arts and Stagecraft</c:v>
                </c:pt>
              </c:strCache>
            </c:strRef>
          </c:cat>
          <c:val>
            <c:numRef>
              <c:f>Sheet3!$B$4:$B$24</c:f>
              <c:numCache>
                <c:formatCode>_("$"* #,##0_);_("$"* \(#,##0\);_("$"* "-"??_);_(@_)</c:formatCode>
                <c:ptCount val="21"/>
                <c:pt idx="0">
                  <c:v>259550.11</c:v>
                </c:pt>
                <c:pt idx="1">
                  <c:v>229684.67</c:v>
                </c:pt>
                <c:pt idx="2">
                  <c:v>214231.48</c:v>
                </c:pt>
                <c:pt idx="3">
                  <c:v>210210.61</c:v>
                </c:pt>
                <c:pt idx="4">
                  <c:v>185025.58</c:v>
                </c:pt>
                <c:pt idx="5">
                  <c:v>180003.03</c:v>
                </c:pt>
                <c:pt idx="6">
                  <c:v>151117.09</c:v>
                </c:pt>
                <c:pt idx="7">
                  <c:v>146892.23000000001</c:v>
                </c:pt>
                <c:pt idx="8">
                  <c:v>143179.75</c:v>
                </c:pt>
                <c:pt idx="9">
                  <c:v>116225.69</c:v>
                </c:pt>
                <c:pt idx="10">
                  <c:v>112174.5</c:v>
                </c:pt>
                <c:pt idx="11">
                  <c:v>107519.61</c:v>
                </c:pt>
                <c:pt idx="12">
                  <c:v>76966.13</c:v>
                </c:pt>
                <c:pt idx="13">
                  <c:v>75876.03</c:v>
                </c:pt>
                <c:pt idx="14">
                  <c:v>58055.27</c:v>
                </c:pt>
                <c:pt idx="15">
                  <c:v>6542.05</c:v>
                </c:pt>
                <c:pt idx="16">
                  <c:v>-22858.45</c:v>
                </c:pt>
                <c:pt idx="17">
                  <c:v>-32679.73</c:v>
                </c:pt>
                <c:pt idx="18">
                  <c:v>-63659.46</c:v>
                </c:pt>
                <c:pt idx="19">
                  <c:v>-72398.45</c:v>
                </c:pt>
                <c:pt idx="20">
                  <c:v>-225845.98</c:v>
                </c:pt>
              </c:numCache>
            </c:numRef>
          </c:val>
          <c:extLst>
            <c:ext xmlns:c16="http://schemas.microsoft.com/office/drawing/2014/chart" uri="{C3380CC4-5D6E-409C-BE32-E72D297353CC}">
              <c16:uniqueId val="{00000000-15FE-4890-8B32-76CA2B26DE43}"/>
            </c:ext>
          </c:extLst>
        </c:ser>
        <c:dLbls>
          <c:showLegendKey val="0"/>
          <c:showVal val="0"/>
          <c:showCatName val="0"/>
          <c:showSerName val="0"/>
          <c:showPercent val="0"/>
          <c:showBubbleSize val="0"/>
        </c:dLbls>
        <c:gapWidth val="182"/>
        <c:axId val="1444245632"/>
        <c:axId val="1444244192"/>
      </c:barChart>
      <c:catAx>
        <c:axId val="1444245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244192"/>
        <c:crosses val="autoZero"/>
        <c:auto val="1"/>
        <c:lblAlgn val="ctr"/>
        <c:lblOffset val="100"/>
        <c:noMultiLvlLbl val="0"/>
      </c:catAx>
      <c:valAx>
        <c:axId val="1444244192"/>
        <c:scaling>
          <c:orientation val="minMax"/>
        </c:scaling>
        <c:delete val="0"/>
        <c:axPos val="b"/>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2456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485</Words>
  <Characters>2765</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Richman, Jesse T.</dc:creator>
  <cp:keywords/>
  <dc:description/>
  <cp:lastModifiedBy>DANBOYI, JOHN CHUNG</cp:lastModifiedBy>
  <cp:revision>3</cp:revision>
  <dcterms:created xsi:type="dcterms:W3CDTF">2026-08-25T11:05:00Z</dcterms:created>
  <dcterms:modified xsi:type="dcterms:W3CDTF">2026-08-25T11:05:00Z</dcterms:modified>
</cp:coreProperties>
</file>