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3248CE" w14:textId="77777777" w:rsidR="00616DCF" w:rsidRPr="00B053B7" w:rsidRDefault="00BE2344" w:rsidP="00B053B7">
      <w:pPr>
        <w:pStyle w:val="Heading1"/>
        <w:jc w:val="center"/>
        <w:rPr>
          <w:sz w:val="32"/>
          <w:szCs w:val="32"/>
        </w:rPr>
      </w:pPr>
      <w:r w:rsidRPr="00B053B7">
        <w:rPr>
          <w:sz w:val="32"/>
          <w:szCs w:val="32"/>
        </w:rPr>
        <w:t>Ph.D. in Counseling Annual Program Evaluation Report</w:t>
      </w:r>
    </w:p>
    <w:p w14:paraId="331FF91A" w14:textId="77777777" w:rsidR="00616DCF" w:rsidRDefault="00BE2344">
      <w:pPr>
        <w:jc w:val="center"/>
      </w:pPr>
      <w:r>
        <w:rPr>
          <w:i/>
          <w:sz w:val="20"/>
        </w:rPr>
        <w:t>2023-2024 WEAVE Data | Old Dominion University</w:t>
      </w:r>
    </w:p>
    <w:p w14:paraId="6CA4345B" w14:textId="77777777" w:rsidR="00616DCF" w:rsidRPr="00B053B7" w:rsidRDefault="00BE2344" w:rsidP="00B053B7">
      <w:pPr>
        <w:pStyle w:val="Heading2"/>
        <w:rPr>
          <w:sz w:val="26"/>
        </w:rPr>
      </w:pPr>
      <w:r w:rsidRPr="00B053B7">
        <w:rPr>
          <w:sz w:val="26"/>
        </w:rPr>
        <w:t>Executive Summary</w:t>
      </w:r>
    </w:p>
    <w:p w14:paraId="7279860F" w14:textId="77777777" w:rsidR="00616DCF" w:rsidRDefault="00BE2344">
      <w:pPr>
        <w:spacing w:after="100" w:line="252" w:lineRule="auto"/>
      </w:pPr>
      <w:r>
        <w:t>The 2023-2024 WEAVE evaluation documents strong doctoral student learning across Counseling, Supervision, Teaching, Research and Scholarship, Leadership and Advocacy, Key Professional Dispositions, and fieldwork. All reported academic benchmarks were met. In Supervision, all students earned 90% or higher on the second KPI, and the Program continued pairing COUN 846 students with master's practicum students to provide applied supervision experience. In Teaching, all nine assessed students earned 90% or higher on the COUN 842 teaching presentation. In Research and Scholarship, all students earned 90% or higher on both KPIs, continuing strong performance following the doctoral research-course resequencing. Leadership and Advocacy was also a strength, with 100% of learners earning 90% or higher on both KPIs. All students met the KPD benchmark, and all nine students evaluated in fieldwork met or exceeded the learning objective, averaging 4.0 across the fieldwork evaluation.</w:t>
      </w:r>
    </w:p>
    <w:p w14:paraId="3B18E928" w14:textId="77777777" w:rsidR="00616DCF" w:rsidRDefault="00BE2344">
      <w:pPr>
        <w:spacing w:after="100" w:line="252" w:lineRule="auto"/>
      </w:pPr>
      <w:r>
        <w:t>The primary improvement need identified in 2023-2024 was not student learning but stakeholder follow-up. Only two doctoral graduates completed the graduate satisfaction survey, although both were satisfied, and only three employers completed the employer survey, although all reported satisfaction. Because response rates were low, both measures were classified as partially met and the Program created a five-part action plan: review the surveys for ease of completion; collect personal email addresses from internship students; send graduate surveys to personal emails after graduation; create an updated employer-contact list; and directly distribute employer surveys to agency contacts. Overall, the academic and clinical data show a high-performing doctoral program, while the stakeholder-survey action plan represents a clear continuous-improvement response to a weakness in evaluation participation rather than a weakness in graduate performance.</w:t>
      </w:r>
    </w:p>
    <w:p w14:paraId="45B5792D" w14:textId="77777777" w:rsidR="00616DCF" w:rsidRPr="00B053B7" w:rsidRDefault="00BE2344" w:rsidP="00B053B7">
      <w:pPr>
        <w:pStyle w:val="Heading2"/>
        <w:rPr>
          <w:sz w:val="26"/>
        </w:rPr>
      </w:pPr>
      <w:r w:rsidRPr="00B053B7">
        <w:rPr>
          <w:sz w:val="26"/>
        </w:rPr>
        <w:t>Graduation and Graduate Outcomes</w:t>
      </w:r>
    </w:p>
    <w:p w14:paraId="5DF67E6D" w14:textId="77777777" w:rsidR="00616DCF" w:rsidRDefault="00BE2344">
      <w:pPr>
        <w:spacing w:after="100"/>
      </w:pPr>
      <w:r>
        <w:t>For the 2023-2024 reporting cycle, the Counselor Education and Supervision Ph.D. program reported 8 graduates. The program reported a 94% degree-completion rate and a 90% job-placement rate among graduates actively seeking employment. No separate credentialing examination was applicable to the doctoral program.</w:t>
      </w:r>
    </w:p>
    <w:tbl>
      <w:tblPr>
        <w:tblW w:w="0" w:type="auto"/>
        <w:jc w:val="center"/>
        <w:tblLayout w:type="fixed"/>
        <w:tblLook w:val="04A0" w:firstRow="1" w:lastRow="0" w:firstColumn="1" w:lastColumn="0" w:noHBand="0" w:noVBand="1"/>
      </w:tblPr>
      <w:tblGrid>
        <w:gridCol w:w="4464"/>
        <w:gridCol w:w="1440"/>
        <w:gridCol w:w="2016"/>
        <w:gridCol w:w="2016"/>
      </w:tblGrid>
      <w:tr w:rsidR="00616DCF" w14:paraId="5A3A6DDF" w14:textId="77777777">
        <w:trPr>
          <w:cantSplit/>
          <w:jc w:val="center"/>
        </w:trPr>
        <w:tc>
          <w:tcPr>
            <w:tcW w:w="4464" w:type="dxa"/>
            <w:tcBorders>
              <w:top w:val="single" w:sz="6" w:space="0" w:color="FFFFFF"/>
              <w:left w:val="single" w:sz="6" w:space="0" w:color="FFFFFF"/>
              <w:bottom w:val="single" w:sz="6" w:space="0" w:color="FFFFFF"/>
              <w:right w:val="single" w:sz="6" w:space="0" w:color="FFFFFF"/>
            </w:tcBorders>
            <w:shd w:val="clear" w:color="auto" w:fill="1F4E78"/>
          </w:tcPr>
          <w:p w14:paraId="545CF596" w14:textId="77777777" w:rsidR="00616DCF" w:rsidRDefault="00BE2344">
            <w:pPr>
              <w:jc w:val="center"/>
            </w:pPr>
            <w:r>
              <w:rPr>
                <w:b/>
                <w:color w:val="FFFFFF"/>
                <w:sz w:val="16"/>
              </w:rPr>
              <w:t>Program</w:t>
            </w:r>
          </w:p>
        </w:tc>
        <w:tc>
          <w:tcPr>
            <w:tcW w:w="1440" w:type="dxa"/>
            <w:tcBorders>
              <w:top w:val="single" w:sz="6" w:space="0" w:color="FFFFFF"/>
              <w:left w:val="single" w:sz="6" w:space="0" w:color="FFFFFF"/>
              <w:bottom w:val="single" w:sz="6" w:space="0" w:color="FFFFFF"/>
              <w:right w:val="single" w:sz="6" w:space="0" w:color="FFFFFF"/>
            </w:tcBorders>
            <w:shd w:val="clear" w:color="auto" w:fill="1F4E78"/>
          </w:tcPr>
          <w:p w14:paraId="0D465B1B" w14:textId="77777777" w:rsidR="00616DCF" w:rsidRDefault="00BE2344">
            <w:pPr>
              <w:jc w:val="center"/>
            </w:pPr>
            <w:r>
              <w:rPr>
                <w:b/>
                <w:color w:val="FFFFFF"/>
                <w:sz w:val="16"/>
              </w:rPr>
              <w:t>Graduates</w:t>
            </w:r>
          </w:p>
        </w:tc>
        <w:tc>
          <w:tcPr>
            <w:tcW w:w="2016" w:type="dxa"/>
            <w:tcBorders>
              <w:top w:val="single" w:sz="6" w:space="0" w:color="FFFFFF"/>
              <w:left w:val="single" w:sz="6" w:space="0" w:color="FFFFFF"/>
              <w:bottom w:val="single" w:sz="6" w:space="0" w:color="FFFFFF"/>
              <w:right w:val="single" w:sz="6" w:space="0" w:color="FFFFFF"/>
            </w:tcBorders>
            <w:shd w:val="clear" w:color="auto" w:fill="1F4E78"/>
          </w:tcPr>
          <w:p w14:paraId="5F21C597" w14:textId="77777777" w:rsidR="00616DCF" w:rsidRDefault="00BE2344">
            <w:pPr>
              <w:jc w:val="center"/>
            </w:pPr>
            <w:r>
              <w:rPr>
                <w:b/>
                <w:color w:val="FFFFFF"/>
                <w:sz w:val="16"/>
              </w:rPr>
              <w:t>Completion Rate</w:t>
            </w:r>
          </w:p>
        </w:tc>
        <w:tc>
          <w:tcPr>
            <w:tcW w:w="2016" w:type="dxa"/>
            <w:tcBorders>
              <w:top w:val="single" w:sz="6" w:space="0" w:color="FFFFFF"/>
              <w:left w:val="single" w:sz="6" w:space="0" w:color="FFFFFF"/>
              <w:bottom w:val="single" w:sz="6" w:space="0" w:color="FFFFFF"/>
              <w:right w:val="single" w:sz="6" w:space="0" w:color="FFFFFF"/>
            </w:tcBorders>
            <w:shd w:val="clear" w:color="auto" w:fill="1F4E78"/>
          </w:tcPr>
          <w:p w14:paraId="2DA62732" w14:textId="77777777" w:rsidR="00616DCF" w:rsidRDefault="00BE2344">
            <w:pPr>
              <w:jc w:val="center"/>
            </w:pPr>
            <w:r>
              <w:rPr>
                <w:b/>
                <w:color w:val="FFFFFF"/>
                <w:sz w:val="16"/>
              </w:rPr>
              <w:t>Job Placement</w:t>
            </w:r>
          </w:p>
        </w:tc>
      </w:tr>
      <w:tr w:rsidR="00616DCF" w14:paraId="68C44550" w14:textId="77777777">
        <w:trPr>
          <w:cantSplit/>
          <w:jc w:val="center"/>
        </w:trPr>
        <w:tc>
          <w:tcPr>
            <w:tcW w:w="4464" w:type="dxa"/>
            <w:tcBorders>
              <w:top w:val="single" w:sz="6" w:space="0" w:color="7F7F7F"/>
              <w:left w:val="single" w:sz="6" w:space="0" w:color="7F7F7F"/>
              <w:bottom w:val="single" w:sz="6" w:space="0" w:color="7F7F7F"/>
              <w:right w:val="single" w:sz="6" w:space="0" w:color="7F7F7F"/>
            </w:tcBorders>
            <w:vAlign w:val="center"/>
          </w:tcPr>
          <w:p w14:paraId="0E95F382" w14:textId="77777777" w:rsidR="00616DCF" w:rsidRDefault="00BE2344">
            <w:r>
              <w:rPr>
                <w:sz w:val="16"/>
              </w:rPr>
              <w:t>Counselor Education &amp; Supervision Ph.D.</w:t>
            </w:r>
          </w:p>
        </w:tc>
        <w:tc>
          <w:tcPr>
            <w:tcW w:w="1440" w:type="dxa"/>
            <w:tcBorders>
              <w:top w:val="single" w:sz="6" w:space="0" w:color="7F7F7F"/>
              <w:left w:val="single" w:sz="6" w:space="0" w:color="7F7F7F"/>
              <w:bottom w:val="single" w:sz="6" w:space="0" w:color="7F7F7F"/>
              <w:right w:val="single" w:sz="6" w:space="0" w:color="7F7F7F"/>
            </w:tcBorders>
            <w:vAlign w:val="center"/>
          </w:tcPr>
          <w:p w14:paraId="29AB807E" w14:textId="77777777" w:rsidR="00616DCF" w:rsidRDefault="00BE2344">
            <w:pPr>
              <w:jc w:val="center"/>
            </w:pPr>
            <w:r>
              <w:rPr>
                <w:sz w:val="16"/>
              </w:rPr>
              <w:t>8</w:t>
            </w:r>
          </w:p>
        </w:tc>
        <w:tc>
          <w:tcPr>
            <w:tcW w:w="2016" w:type="dxa"/>
            <w:tcBorders>
              <w:top w:val="single" w:sz="6" w:space="0" w:color="7F7F7F"/>
              <w:left w:val="single" w:sz="6" w:space="0" w:color="7F7F7F"/>
              <w:bottom w:val="single" w:sz="6" w:space="0" w:color="7F7F7F"/>
              <w:right w:val="single" w:sz="6" w:space="0" w:color="7F7F7F"/>
            </w:tcBorders>
            <w:vAlign w:val="center"/>
          </w:tcPr>
          <w:p w14:paraId="336D3971" w14:textId="77777777" w:rsidR="00616DCF" w:rsidRDefault="00BE2344">
            <w:pPr>
              <w:jc w:val="center"/>
            </w:pPr>
            <w:r>
              <w:rPr>
                <w:sz w:val="16"/>
              </w:rPr>
              <w:t>94%</w:t>
            </w:r>
          </w:p>
        </w:tc>
        <w:tc>
          <w:tcPr>
            <w:tcW w:w="2016" w:type="dxa"/>
            <w:tcBorders>
              <w:top w:val="single" w:sz="6" w:space="0" w:color="7F7F7F"/>
              <w:left w:val="single" w:sz="6" w:space="0" w:color="7F7F7F"/>
              <w:bottom w:val="single" w:sz="6" w:space="0" w:color="7F7F7F"/>
              <w:right w:val="single" w:sz="6" w:space="0" w:color="7F7F7F"/>
            </w:tcBorders>
            <w:vAlign w:val="center"/>
          </w:tcPr>
          <w:p w14:paraId="00416B76" w14:textId="77777777" w:rsidR="00616DCF" w:rsidRDefault="00BE2344">
            <w:pPr>
              <w:jc w:val="center"/>
            </w:pPr>
            <w:r>
              <w:rPr>
                <w:sz w:val="16"/>
              </w:rPr>
              <w:t>90%</w:t>
            </w:r>
          </w:p>
        </w:tc>
      </w:tr>
    </w:tbl>
    <w:p w14:paraId="4CA3F7CA" w14:textId="77777777" w:rsidR="00616DCF" w:rsidRDefault="00BE2344">
      <w:pPr>
        <w:spacing w:after="100"/>
      </w:pPr>
      <w:r>
        <w:t>These graduate-outcome figures complement the annual WEAVE evidence of doctoral achievement in counseling, supervision, teaching, research and scholarship, leadership and advocacy, professional dispositions, and fieldwork.</w:t>
      </w:r>
    </w:p>
    <w:p w14:paraId="4965CD8F" w14:textId="77777777" w:rsidR="00616DCF" w:rsidRPr="00B053B7" w:rsidRDefault="00BE2344" w:rsidP="00B053B7">
      <w:pPr>
        <w:pStyle w:val="Heading2"/>
        <w:rPr>
          <w:sz w:val="26"/>
        </w:rPr>
      </w:pPr>
      <w:r w:rsidRPr="00B053B7">
        <w:rPr>
          <w:sz w:val="26"/>
        </w:rPr>
        <w:t>Program Mission and Evaluation Framework</w:t>
      </w:r>
    </w:p>
    <w:p w14:paraId="618BC43C" w14:textId="77777777" w:rsidR="00616DCF" w:rsidRDefault="00BE2344">
      <w:pPr>
        <w:spacing w:after="80"/>
      </w:pPr>
      <w:r>
        <w:rPr>
          <w:b/>
        </w:rPr>
        <w:t xml:space="preserve">Mission. </w:t>
      </w:r>
      <w:r>
        <w:t>The Ph.D. program in Counseling prepares professional counselors for leadership in counseling, including excellence in counseling, supervision, teaching, research and scholarship, and leadership and advocacy, with preparation for counselor education faculty and other leadership roles.</w:t>
      </w:r>
    </w:p>
    <w:p w14:paraId="49F4111B" w14:textId="77777777" w:rsidR="00616DCF" w:rsidRDefault="00BE2344">
      <w:pPr>
        <w:spacing w:after="120"/>
      </w:pPr>
      <w:r>
        <w:t>The doctoral program evaluates student learning through two KPIs in each CACREP doctoral core area, KPDs assessed in COUN 846 and COUN 869, a standardized 15-item fieldwork evaluation, and graduate/employer satisfaction surveys. Program results are reviewed in faculty meetings and through the annual comprehensive evaluation process.</w:t>
      </w:r>
    </w:p>
    <w:p w14:paraId="33411472" w14:textId="77777777" w:rsidR="00616DCF" w:rsidRPr="00B053B7" w:rsidRDefault="00BE2344" w:rsidP="00B053B7">
      <w:pPr>
        <w:pStyle w:val="Heading2"/>
        <w:rPr>
          <w:sz w:val="26"/>
        </w:rPr>
      </w:pPr>
      <w:r w:rsidRPr="00B053B7">
        <w:rPr>
          <w:sz w:val="26"/>
        </w:rPr>
        <w:t>Annual Results by Outcome</w:t>
      </w:r>
    </w:p>
    <w:tbl>
      <w:tblPr>
        <w:tblW w:w="0" w:type="auto"/>
        <w:jc w:val="center"/>
        <w:tblLayout w:type="fixed"/>
        <w:tblLook w:val="04A0" w:firstRow="1" w:lastRow="0" w:firstColumn="1" w:lastColumn="0" w:noHBand="0" w:noVBand="1"/>
      </w:tblPr>
      <w:tblGrid>
        <w:gridCol w:w="2952"/>
        <w:gridCol w:w="2952"/>
        <w:gridCol w:w="4608"/>
      </w:tblGrid>
      <w:tr w:rsidR="00616DCF" w14:paraId="7DC98313" w14:textId="77777777">
        <w:trPr>
          <w:cantSplit/>
          <w:tblHeader/>
          <w:jc w:val="center"/>
        </w:trPr>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62BA38DF" w14:textId="77777777" w:rsidR="00616DCF" w:rsidRDefault="00BE2344">
            <w:pPr>
              <w:jc w:val="center"/>
            </w:pPr>
            <w:r>
              <w:rPr>
                <w:b/>
                <w:color w:val="FFFFFF"/>
                <w:sz w:val="16"/>
              </w:rPr>
              <w:t>Outcome / Benchmark</w:t>
            </w:r>
          </w:p>
        </w:tc>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1D24AC97" w14:textId="77777777" w:rsidR="00616DCF" w:rsidRDefault="00BE2344">
            <w:pPr>
              <w:jc w:val="center"/>
            </w:pPr>
            <w:r>
              <w:rPr>
                <w:b/>
                <w:color w:val="FFFFFF"/>
                <w:sz w:val="16"/>
              </w:rPr>
              <w:t>Results</w:t>
            </w:r>
          </w:p>
        </w:tc>
        <w:tc>
          <w:tcPr>
            <w:tcW w:w="4608" w:type="dxa"/>
            <w:tcBorders>
              <w:top w:val="single" w:sz="6" w:space="0" w:color="FFFFFF"/>
              <w:left w:val="single" w:sz="6" w:space="0" w:color="FFFFFF"/>
              <w:bottom w:val="single" w:sz="6" w:space="0" w:color="FFFFFF"/>
              <w:right w:val="single" w:sz="6" w:space="0" w:color="FFFFFF"/>
            </w:tcBorders>
            <w:shd w:val="clear" w:color="auto" w:fill="1F4E78"/>
          </w:tcPr>
          <w:p w14:paraId="22FDCDB6" w14:textId="77777777" w:rsidR="00616DCF" w:rsidRDefault="00BE2344">
            <w:pPr>
              <w:jc w:val="center"/>
            </w:pPr>
            <w:r>
              <w:rPr>
                <w:b/>
                <w:color w:val="FFFFFF"/>
                <w:sz w:val="16"/>
              </w:rPr>
              <w:t>Interpretation, Changes, and Use</w:t>
            </w:r>
          </w:p>
        </w:tc>
      </w:tr>
      <w:tr w:rsidR="00616DCF" w14:paraId="4CABEDC0"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36B66671" w14:textId="77777777" w:rsidR="00616DCF" w:rsidRDefault="00BE2344">
            <w:pPr>
              <w:spacing w:after="0"/>
            </w:pPr>
            <w:r>
              <w:rPr>
                <w:sz w:val="15"/>
              </w:rPr>
              <w:t>Counseling</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tcPr>
          <w:p w14:paraId="0E84BE51" w14:textId="77777777" w:rsidR="00616DCF" w:rsidRDefault="00BE2344">
            <w:pPr>
              <w:spacing w:after="0"/>
            </w:pPr>
            <w:r>
              <w:rPr>
                <w:sz w:val="15"/>
              </w:rPr>
              <w:t>All students received ≥80 on one or both assessments; the report states the cohort averaged 100%.</w:t>
            </w:r>
          </w:p>
        </w:tc>
        <w:tc>
          <w:tcPr>
            <w:tcW w:w="4608" w:type="dxa"/>
            <w:tcBorders>
              <w:top w:val="single" w:sz="6" w:space="0" w:color="7F7F7F"/>
              <w:left w:val="single" w:sz="6" w:space="0" w:color="7F7F7F"/>
              <w:bottom w:val="single" w:sz="6" w:space="0" w:color="7F7F7F"/>
              <w:right w:val="single" w:sz="6" w:space="0" w:color="7F7F7F"/>
            </w:tcBorders>
          </w:tcPr>
          <w:p w14:paraId="1585E4EC" w14:textId="77777777" w:rsidR="00616DCF" w:rsidRDefault="00BE2344">
            <w:pPr>
              <w:spacing w:after="0"/>
            </w:pPr>
            <w:r>
              <w:rPr>
                <w:sz w:val="15"/>
              </w:rPr>
              <w:t>The report characterizes counseling/case conceptualization as a strength and notes no instructional changes. Faculty continued annual review.</w:t>
            </w:r>
          </w:p>
        </w:tc>
      </w:tr>
      <w:tr w:rsidR="00616DCF" w14:paraId="2745F1B9"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7ACCCB8B" w14:textId="77777777" w:rsidR="00616DCF" w:rsidRDefault="00BE2344">
            <w:pPr>
              <w:spacing w:after="0"/>
            </w:pPr>
            <w:r>
              <w:rPr>
                <w:sz w:val="15"/>
              </w:rPr>
              <w:t>Supervision</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1DA989CF" w14:textId="77777777" w:rsidR="00616DCF" w:rsidRDefault="00BE2344">
            <w:pPr>
              <w:spacing w:after="0"/>
            </w:pPr>
            <w:r>
              <w:rPr>
                <w:sz w:val="15"/>
              </w:rPr>
              <w:t>All students earned ≥90 on the second assessment.</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0C189CD9" w14:textId="77777777" w:rsidR="00616DCF" w:rsidRDefault="00BE2344">
            <w:pPr>
              <w:spacing w:after="0"/>
            </w:pPr>
            <w:r>
              <w:rPr>
                <w:sz w:val="15"/>
              </w:rPr>
              <w:t>Students appeared well prepared to supervise master's practicum students. Pairing COUN 846 students with master's practicum students continued as an applied-learning strategy.</w:t>
            </w:r>
          </w:p>
        </w:tc>
      </w:tr>
      <w:tr w:rsidR="00616DCF" w14:paraId="0B16133F"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41570539" w14:textId="77777777" w:rsidR="00616DCF" w:rsidRDefault="00BE2344">
            <w:pPr>
              <w:spacing w:after="0"/>
            </w:pPr>
            <w:r>
              <w:rPr>
                <w:sz w:val="15"/>
              </w:rPr>
              <w:t>Teaching</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tcPr>
          <w:p w14:paraId="42702C54" w14:textId="77777777" w:rsidR="00616DCF" w:rsidRDefault="00BE2344">
            <w:pPr>
              <w:spacing w:after="0"/>
            </w:pPr>
            <w:r>
              <w:rPr>
                <w:sz w:val="15"/>
              </w:rPr>
              <w:t>All 9 assessed learners earned ≥90 on the COUN 842 teaching presentation.</w:t>
            </w:r>
          </w:p>
        </w:tc>
        <w:tc>
          <w:tcPr>
            <w:tcW w:w="4608" w:type="dxa"/>
            <w:tcBorders>
              <w:top w:val="single" w:sz="6" w:space="0" w:color="7F7F7F"/>
              <w:left w:val="single" w:sz="6" w:space="0" w:color="7F7F7F"/>
              <w:bottom w:val="single" w:sz="6" w:space="0" w:color="7F7F7F"/>
              <w:right w:val="single" w:sz="6" w:space="0" w:color="7F7F7F"/>
            </w:tcBorders>
          </w:tcPr>
          <w:p w14:paraId="64617D70" w14:textId="77777777" w:rsidR="00616DCF" w:rsidRDefault="00BE2344">
            <w:pPr>
              <w:spacing w:after="0"/>
            </w:pPr>
            <w:r>
              <w:rPr>
                <w:sz w:val="15"/>
              </w:rPr>
              <w:t>Teaching performance was strong; no modifications were reported.</w:t>
            </w:r>
          </w:p>
        </w:tc>
      </w:tr>
      <w:tr w:rsidR="00616DCF" w14:paraId="130DAFFF"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68ED1E64" w14:textId="77777777" w:rsidR="00616DCF" w:rsidRDefault="00BE2344">
            <w:pPr>
              <w:spacing w:after="0"/>
            </w:pPr>
            <w:r>
              <w:rPr>
                <w:sz w:val="15"/>
              </w:rPr>
              <w:lastRenderedPageBreak/>
              <w:t>Research &amp; Scholarship</w:t>
            </w:r>
            <w:r>
              <w:rPr>
                <w:sz w:val="15"/>
              </w:rPr>
              <w:br/>
              <w:t>Benchmark: score ≥80 on both KPIs</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6BB3DF9B" w14:textId="77777777" w:rsidR="00616DCF" w:rsidRDefault="00BE2344">
            <w:pPr>
              <w:spacing w:after="0"/>
            </w:pPr>
            <w:r>
              <w:rPr>
                <w:sz w:val="15"/>
              </w:rPr>
              <w:t>All students earned ≥90 on both assessments.</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6E96321F" w14:textId="77777777" w:rsidR="00616DCF" w:rsidRDefault="00BE2344">
            <w:pPr>
              <w:spacing w:after="0"/>
            </w:pPr>
            <w:r>
              <w:rPr>
                <w:sz w:val="15"/>
              </w:rPr>
              <w:t>Students were well prepared to formulate research questions and identify methods. This was the fourth cycle after research-course resequencing; the sequencing was retained.</w:t>
            </w:r>
          </w:p>
        </w:tc>
      </w:tr>
      <w:tr w:rsidR="00616DCF" w14:paraId="32DE8913"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0F25904C" w14:textId="77777777" w:rsidR="00616DCF" w:rsidRDefault="00BE2344">
            <w:pPr>
              <w:spacing w:after="0"/>
            </w:pPr>
            <w:r>
              <w:rPr>
                <w:sz w:val="15"/>
              </w:rPr>
              <w:t>Leadership &amp; Advocacy</w:t>
            </w:r>
            <w:r>
              <w:rPr>
                <w:sz w:val="15"/>
              </w:rPr>
              <w:br/>
              <w:t>Benchmark: score ≥80 on one or both KPIs</w:t>
            </w:r>
          </w:p>
        </w:tc>
        <w:tc>
          <w:tcPr>
            <w:tcW w:w="2952" w:type="dxa"/>
            <w:tcBorders>
              <w:top w:val="single" w:sz="6" w:space="0" w:color="7F7F7F"/>
              <w:left w:val="single" w:sz="6" w:space="0" w:color="7F7F7F"/>
              <w:bottom w:val="single" w:sz="6" w:space="0" w:color="7F7F7F"/>
              <w:right w:val="single" w:sz="6" w:space="0" w:color="7F7F7F"/>
            </w:tcBorders>
          </w:tcPr>
          <w:p w14:paraId="2F1D721A" w14:textId="77777777" w:rsidR="00616DCF" w:rsidRDefault="00BE2344">
            <w:pPr>
              <w:spacing w:after="0"/>
            </w:pPr>
            <w:r>
              <w:rPr>
                <w:sz w:val="15"/>
              </w:rPr>
              <w:t>100% of learners earned ≥90 on both KPIs.</w:t>
            </w:r>
          </w:p>
        </w:tc>
        <w:tc>
          <w:tcPr>
            <w:tcW w:w="4608" w:type="dxa"/>
            <w:tcBorders>
              <w:top w:val="single" w:sz="6" w:space="0" w:color="7F7F7F"/>
              <w:left w:val="single" w:sz="6" w:space="0" w:color="7F7F7F"/>
              <w:bottom w:val="single" w:sz="6" w:space="0" w:color="7F7F7F"/>
              <w:right w:val="single" w:sz="6" w:space="0" w:color="7F7F7F"/>
            </w:tcBorders>
          </w:tcPr>
          <w:p w14:paraId="17AF15A8" w14:textId="77777777" w:rsidR="00616DCF" w:rsidRDefault="00BE2344">
            <w:pPr>
              <w:spacing w:after="0"/>
            </w:pPr>
            <w:r>
              <w:rPr>
                <w:sz w:val="15"/>
              </w:rPr>
              <w:t>Leadership/advocacy remained a strength; no modifications were reported.</w:t>
            </w:r>
          </w:p>
        </w:tc>
      </w:tr>
      <w:tr w:rsidR="00616DCF" w14:paraId="6CCC5019"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1E3D7CD7" w14:textId="77777777" w:rsidR="00616DCF" w:rsidRDefault="00BE2344">
            <w:pPr>
              <w:spacing w:after="0"/>
            </w:pPr>
            <w:r>
              <w:rPr>
                <w:sz w:val="15"/>
              </w:rPr>
              <w:t>Key Professional Dispositions</w:t>
            </w:r>
            <w:r>
              <w:rPr>
                <w:sz w:val="15"/>
              </w:rPr>
              <w:br/>
              <w:t>Benchmark: score ≥3 in all KPD areas</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37EAFCE7" w14:textId="77777777" w:rsidR="00616DCF" w:rsidRDefault="00BE2344">
            <w:pPr>
              <w:spacing w:after="0"/>
            </w:pPr>
            <w:r>
              <w:rPr>
                <w:sz w:val="15"/>
              </w:rPr>
              <w:t>All students achieved ≥3 in both COUN 846 and COUN 869.</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4CF4F79E" w14:textId="77777777" w:rsidR="00616DCF" w:rsidRDefault="00BE2344">
            <w:pPr>
              <w:spacing w:after="0"/>
            </w:pPr>
            <w:r>
              <w:rPr>
                <w:sz w:val="15"/>
              </w:rPr>
              <w:t>Positive professional dispositions were consistent across both assessment points; no changes were reported.</w:t>
            </w:r>
          </w:p>
        </w:tc>
      </w:tr>
      <w:tr w:rsidR="00616DCF" w14:paraId="7861DA85"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7529B7E7" w14:textId="77777777" w:rsidR="00616DCF" w:rsidRDefault="00BE2344">
            <w:pPr>
              <w:spacing w:after="0"/>
            </w:pPr>
            <w:r>
              <w:rPr>
                <w:sz w:val="15"/>
              </w:rPr>
              <w:t>Fieldwork</w:t>
            </w:r>
            <w:r>
              <w:rPr>
                <w:sz w:val="15"/>
              </w:rPr>
              <w:br/>
              <w:t>Benchmark: ≥3.5 on each item and overall; items &lt;3 reviewed</w:t>
            </w:r>
          </w:p>
        </w:tc>
        <w:tc>
          <w:tcPr>
            <w:tcW w:w="2952" w:type="dxa"/>
            <w:tcBorders>
              <w:top w:val="single" w:sz="6" w:space="0" w:color="7F7F7F"/>
              <w:left w:val="single" w:sz="6" w:space="0" w:color="7F7F7F"/>
              <w:bottom w:val="single" w:sz="6" w:space="0" w:color="7F7F7F"/>
              <w:right w:val="single" w:sz="6" w:space="0" w:color="7F7F7F"/>
            </w:tcBorders>
          </w:tcPr>
          <w:p w14:paraId="5C811D9D" w14:textId="77777777" w:rsidR="00616DCF" w:rsidRDefault="00BE2344">
            <w:pPr>
              <w:spacing w:after="0"/>
            </w:pPr>
            <w:r>
              <w:rPr>
                <w:sz w:val="15"/>
              </w:rPr>
              <w:t>9 students were evaluated; all met or exceeded the objective; average rating was 4.0 across items and overall.</w:t>
            </w:r>
          </w:p>
        </w:tc>
        <w:tc>
          <w:tcPr>
            <w:tcW w:w="4608" w:type="dxa"/>
            <w:tcBorders>
              <w:top w:val="single" w:sz="6" w:space="0" w:color="7F7F7F"/>
              <w:left w:val="single" w:sz="6" w:space="0" w:color="7F7F7F"/>
              <w:bottom w:val="single" w:sz="6" w:space="0" w:color="7F7F7F"/>
              <w:right w:val="single" w:sz="6" w:space="0" w:color="7F7F7F"/>
            </w:tcBorders>
          </w:tcPr>
          <w:p w14:paraId="605A043F" w14:textId="77777777" w:rsidR="00616DCF" w:rsidRDefault="00BE2344">
            <w:pPr>
              <w:spacing w:after="0"/>
            </w:pPr>
            <w:r>
              <w:rPr>
                <w:sz w:val="15"/>
              </w:rPr>
              <w:t>Fieldwork performance, site quality, professionalism, and supervisor quality were identified as strengths.</w:t>
            </w:r>
          </w:p>
        </w:tc>
      </w:tr>
      <w:tr w:rsidR="00616DCF" w14:paraId="697C6256"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5D092743" w14:textId="77777777" w:rsidR="00616DCF" w:rsidRDefault="00BE2344">
            <w:pPr>
              <w:spacing w:after="0"/>
            </w:pPr>
            <w:r>
              <w:rPr>
                <w:sz w:val="15"/>
              </w:rPr>
              <w:t>Graduate Satisfaction</w:t>
            </w:r>
            <w:r>
              <w:rPr>
                <w:sz w:val="15"/>
              </w:rPr>
              <w:br/>
              <w:t>Benchmark: ≥85% satisfied</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4334146D" w14:textId="77777777" w:rsidR="00616DCF" w:rsidRDefault="00BE2344">
            <w:pPr>
              <w:spacing w:after="0"/>
            </w:pPr>
            <w:r>
              <w:rPr>
                <w:sz w:val="15"/>
              </w:rPr>
              <w:t>2 graduates responded; both indicated satisfaction. Measure classified Partially Met because of low response.</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40006055" w14:textId="77777777" w:rsidR="00616DCF" w:rsidRDefault="00BE2344">
            <w:pPr>
              <w:spacing w:after="0"/>
            </w:pPr>
            <w:r>
              <w:rPr>
                <w:sz w:val="15"/>
              </w:rPr>
              <w:t>Low response prompted an action plan to improve survey design and graduate contact/follow-up.</w:t>
            </w:r>
          </w:p>
        </w:tc>
      </w:tr>
      <w:tr w:rsidR="00616DCF" w14:paraId="3AD06E8D"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63D565B1" w14:textId="77777777" w:rsidR="00616DCF" w:rsidRDefault="00BE2344">
            <w:pPr>
              <w:spacing w:after="0"/>
            </w:pPr>
            <w:r>
              <w:rPr>
                <w:sz w:val="15"/>
              </w:rPr>
              <w:t>Employer Satisfaction</w:t>
            </w:r>
            <w:r>
              <w:rPr>
                <w:sz w:val="15"/>
              </w:rPr>
              <w:br/>
              <w:t>Benchmark: ≥85% satisfied</w:t>
            </w:r>
          </w:p>
        </w:tc>
        <w:tc>
          <w:tcPr>
            <w:tcW w:w="2952" w:type="dxa"/>
            <w:tcBorders>
              <w:top w:val="single" w:sz="6" w:space="0" w:color="7F7F7F"/>
              <w:left w:val="single" w:sz="6" w:space="0" w:color="7F7F7F"/>
              <w:bottom w:val="single" w:sz="6" w:space="0" w:color="7F7F7F"/>
              <w:right w:val="single" w:sz="6" w:space="0" w:color="7F7F7F"/>
            </w:tcBorders>
          </w:tcPr>
          <w:p w14:paraId="0CAB1916" w14:textId="77777777" w:rsidR="00616DCF" w:rsidRDefault="00BE2344">
            <w:pPr>
              <w:spacing w:after="0"/>
            </w:pPr>
            <w:r>
              <w:rPr>
                <w:sz w:val="15"/>
              </w:rPr>
              <w:t>3 employers responded; all indicated satisfaction. Measure classified Partially Met because of low response.</w:t>
            </w:r>
          </w:p>
        </w:tc>
        <w:tc>
          <w:tcPr>
            <w:tcW w:w="4608" w:type="dxa"/>
            <w:tcBorders>
              <w:top w:val="single" w:sz="6" w:space="0" w:color="7F7F7F"/>
              <w:left w:val="single" w:sz="6" w:space="0" w:color="7F7F7F"/>
              <w:bottom w:val="single" w:sz="6" w:space="0" w:color="7F7F7F"/>
              <w:right w:val="single" w:sz="6" w:space="0" w:color="7F7F7F"/>
            </w:tcBorders>
          </w:tcPr>
          <w:p w14:paraId="1AEE160B" w14:textId="77777777" w:rsidR="00616DCF" w:rsidRDefault="00BE2344">
            <w:pPr>
              <w:spacing w:after="0"/>
            </w:pPr>
            <w:r>
              <w:rPr>
                <w:sz w:val="15"/>
              </w:rPr>
              <w:t>Program planned improved employer identification and direct survey distribution.</w:t>
            </w:r>
          </w:p>
        </w:tc>
      </w:tr>
    </w:tbl>
    <w:p w14:paraId="692DE6CB" w14:textId="77777777" w:rsidR="00616DCF" w:rsidRPr="00B053B7" w:rsidRDefault="00BE2344" w:rsidP="00B053B7">
      <w:pPr>
        <w:pStyle w:val="Heading2"/>
        <w:rPr>
          <w:sz w:val="26"/>
        </w:rPr>
      </w:pPr>
      <w:r w:rsidRPr="00B053B7">
        <w:rPr>
          <w:sz w:val="26"/>
        </w:rPr>
        <w:t>Key Strengths</w:t>
      </w:r>
    </w:p>
    <w:p w14:paraId="20FBF634" w14:textId="77777777" w:rsidR="00616DCF" w:rsidRDefault="00BE2344">
      <w:pPr>
        <w:pStyle w:val="ListBullet"/>
        <w:spacing w:after="40"/>
      </w:pPr>
      <w:r>
        <w:t>Strong performance across all five CACREP doctoral core areas.</w:t>
      </w:r>
    </w:p>
    <w:p w14:paraId="7D20F769" w14:textId="77777777" w:rsidR="00616DCF" w:rsidRDefault="00BE2344">
      <w:pPr>
        <w:pStyle w:val="ListBullet"/>
        <w:spacing w:after="40"/>
      </w:pPr>
      <w:r>
        <w:t>Research and Scholarship remained strong following course resequencing.</w:t>
      </w:r>
    </w:p>
    <w:p w14:paraId="74C08521" w14:textId="77777777" w:rsidR="00616DCF" w:rsidRDefault="00BE2344">
      <w:pPr>
        <w:pStyle w:val="ListBullet"/>
        <w:spacing w:after="40"/>
      </w:pPr>
      <w:r>
        <w:t>Applied supervision pairing with master's practicum students continued to support supervision preparation.</w:t>
      </w:r>
    </w:p>
    <w:p w14:paraId="18C04B49" w14:textId="77777777" w:rsidR="00616DCF" w:rsidRDefault="00BE2344">
      <w:pPr>
        <w:pStyle w:val="ListBullet"/>
        <w:spacing w:after="40"/>
      </w:pPr>
      <w:r>
        <w:t>All fieldwork students met/exceeded the benchmark with average ratings of 4.0.</w:t>
      </w:r>
    </w:p>
    <w:p w14:paraId="2414F295" w14:textId="77777777" w:rsidR="00616DCF" w:rsidRPr="00B053B7" w:rsidRDefault="00BE2344" w:rsidP="00B053B7">
      <w:pPr>
        <w:pStyle w:val="Heading2"/>
        <w:rPr>
          <w:sz w:val="26"/>
        </w:rPr>
      </w:pPr>
      <w:r w:rsidRPr="00B053B7">
        <w:rPr>
          <w:sz w:val="26"/>
        </w:rPr>
        <w:t>Continuous Improvement Priorities</w:t>
      </w:r>
    </w:p>
    <w:p w14:paraId="52AB0768" w14:textId="77777777" w:rsidR="00616DCF" w:rsidRDefault="00BE2344">
      <w:pPr>
        <w:pStyle w:val="ListBullet"/>
        <w:spacing w:after="40"/>
      </w:pPr>
      <w:r>
        <w:t>Implement the graduate/employer survey response-rate action plan.</w:t>
      </w:r>
    </w:p>
    <w:p w14:paraId="0648135A" w14:textId="77777777" w:rsidR="00616DCF" w:rsidRDefault="00BE2344">
      <w:pPr>
        <w:pStyle w:val="ListBullet"/>
        <w:spacing w:after="40"/>
      </w:pPr>
      <w:r>
        <w:t>Continue applied supervision experiences and research-course sequencing.</w:t>
      </w:r>
    </w:p>
    <w:p w14:paraId="161B0CC2" w14:textId="77777777" w:rsidR="00616DCF" w:rsidRDefault="00BE2344">
      <w:pPr>
        <w:pStyle w:val="ListBullet"/>
        <w:spacing w:after="40"/>
      </w:pPr>
      <w:r>
        <w:t>Continue annual review of doctoral KPIs, KPDs, and fieldwork outcomes.</w:t>
      </w:r>
    </w:p>
    <w:p w14:paraId="4DA38346" w14:textId="77777777" w:rsidR="00616DCF" w:rsidRDefault="00BE2344">
      <w:pPr>
        <w:spacing w:before="160"/>
      </w:pPr>
      <w:r>
        <w:rPr>
          <w:b/>
          <w:sz w:val="16"/>
        </w:rPr>
        <w:t xml:space="preserve">Source: </w:t>
      </w:r>
      <w:r>
        <w:rPr>
          <w:i/>
          <w:sz w:val="16"/>
        </w:rPr>
        <w:t>Counseling 2023-2024 WEAVE Program Evaluation Report, Ph.D. section.</w:t>
      </w:r>
    </w:p>
    <w:sectPr w:rsidR="00616DCF"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9582442">
    <w:abstractNumId w:val="8"/>
  </w:num>
  <w:num w:numId="2" w16cid:durableId="1892112374">
    <w:abstractNumId w:val="6"/>
  </w:num>
  <w:num w:numId="3" w16cid:durableId="1216310558">
    <w:abstractNumId w:val="5"/>
  </w:num>
  <w:num w:numId="4" w16cid:durableId="137772908">
    <w:abstractNumId w:val="4"/>
  </w:num>
  <w:num w:numId="5" w16cid:durableId="690450236">
    <w:abstractNumId w:val="7"/>
  </w:num>
  <w:num w:numId="6" w16cid:durableId="1490712228">
    <w:abstractNumId w:val="3"/>
  </w:num>
  <w:num w:numId="7" w16cid:durableId="1805389165">
    <w:abstractNumId w:val="2"/>
  </w:num>
  <w:num w:numId="8" w16cid:durableId="1789859800">
    <w:abstractNumId w:val="1"/>
  </w:num>
  <w:num w:numId="9" w16cid:durableId="16510612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16DCF"/>
    <w:rsid w:val="00AA1D8D"/>
    <w:rsid w:val="00AF65BF"/>
    <w:rsid w:val="00B053B7"/>
    <w:rsid w:val="00B47730"/>
    <w:rsid w:val="00BE2344"/>
    <w:rsid w:val="00CA771C"/>
    <w:rsid w:val="00CB0664"/>
    <w:rsid w:val="00EF55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F9E0C85-94B6-4214-B446-17EE192C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Weakley, Sydney E.</cp:lastModifiedBy>
  <cp:revision>3</cp:revision>
  <dcterms:created xsi:type="dcterms:W3CDTF">2013-12-23T23:15:00Z</dcterms:created>
  <dcterms:modified xsi:type="dcterms:W3CDTF">2026-08-18T18:07:00Z</dcterms:modified>
  <cp:category/>
</cp:coreProperties>
</file>