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65A3C7" w14:textId="77777777" w:rsidR="00B54353" w:rsidRPr="001916DE" w:rsidRDefault="00F36D8A" w:rsidP="001916DE">
      <w:pPr>
        <w:pStyle w:val="Heading1"/>
        <w:jc w:val="center"/>
        <w:rPr>
          <w:sz w:val="32"/>
          <w:szCs w:val="36"/>
        </w:rPr>
      </w:pPr>
      <w:r w:rsidRPr="001916DE">
        <w:rPr>
          <w:sz w:val="32"/>
          <w:szCs w:val="36"/>
        </w:rPr>
        <w:t>M.S.Ed. Counseling Annual Program Evaluation Report</w:t>
      </w:r>
    </w:p>
    <w:p w14:paraId="7848BE30" w14:textId="77777777" w:rsidR="00B54353" w:rsidRDefault="00F36D8A">
      <w:pPr>
        <w:jc w:val="center"/>
      </w:pPr>
      <w:r>
        <w:rPr>
          <w:i/>
          <w:sz w:val="20"/>
        </w:rPr>
        <w:t>2024-2025 WEAVE Data | Old Dominion University</w:t>
      </w:r>
    </w:p>
    <w:p w14:paraId="19B540C9" w14:textId="77777777" w:rsidR="00B54353" w:rsidRPr="001916DE" w:rsidRDefault="00F36D8A" w:rsidP="001916DE">
      <w:pPr>
        <w:pStyle w:val="Heading2"/>
        <w:rPr>
          <w:sz w:val="26"/>
        </w:rPr>
      </w:pPr>
      <w:r w:rsidRPr="001916DE">
        <w:rPr>
          <w:sz w:val="26"/>
        </w:rPr>
        <w:t>Executive Summary</w:t>
      </w:r>
    </w:p>
    <w:p w14:paraId="5983108C" w14:textId="77777777" w:rsidR="00B54353" w:rsidRDefault="00F36D8A">
      <w:pPr>
        <w:spacing w:after="100" w:line="252" w:lineRule="auto"/>
      </w:pPr>
      <w:r>
        <w:t>The 2024-2025 WEAVE evaluation indicates broad and sustained strength across the M.S.Ed. Counseling Program. All reported KPI-area benchmarks were met, including 100% achievement in Professional Orientation and Ethics, Social and Cultural Diversity, Human Growth and Development, Counseling and Helping Relationships, Group Counseling, Career Development, Assessment and Testing, Research and Program Evaluation, Clinical Mental Health Counseling specialty outcomes, and School Counseling specialty outcomes. All assessed students also met the Key Professional Dispositions benchmark. Aggregate KPI performance remained strong, with 90% of learners earning above 80% across KPI domains. CPCE performance was especially strong: all 75 students passed on the first attempt and scored above the national mean. Student fieldwork performance improved from the prior cycle, with 100% meeting the benchmark assigned by on-site supervisors.</w:t>
      </w:r>
    </w:p>
    <w:p w14:paraId="141EA72D" w14:textId="77777777" w:rsidR="00B54353" w:rsidRDefault="00F36D8A">
      <w:pPr>
        <w:spacing w:after="100" w:line="252" w:lineRule="auto"/>
      </w:pPr>
      <w:r>
        <w:t>The report also documents improvement in several areas that had warranted monitoring in 2023-2024. Group Counseling rose to 100% benchmark attainment, and the report attributes this in part to earlier identification of student needs, part-time study options, and added supports. Online and in-person students were described as succeeding in Professional Orientation and Ethics, while the Program continued to monitor online test preparation, adjunct qualifications, and instructional quality. Program-outcome measures remained positive: nine exit-survey respondents rated the program satisfactory on average, and approximately 90% of students rated site supervisors at or above the 3.5 benchmark. More field sites were again rated below 3.5 than in earlier years; one site had received lower ratings for two consecutive years and was identified for direct follow-up with site personnel. The employer survey was not administered because it had been completed in the previous cycle. Overall, the 2024-2025 results demonstrate strong student learning and clinical preparation, with continued attention to online delivery and field-site quality.</w:t>
      </w:r>
    </w:p>
    <w:p w14:paraId="7700146E" w14:textId="77777777" w:rsidR="00B54353" w:rsidRPr="001916DE" w:rsidRDefault="00F36D8A" w:rsidP="001916DE">
      <w:pPr>
        <w:pStyle w:val="Heading2"/>
        <w:rPr>
          <w:sz w:val="26"/>
        </w:rPr>
      </w:pPr>
      <w:r w:rsidRPr="001916DE">
        <w:rPr>
          <w:sz w:val="26"/>
        </w:rPr>
        <w:t>Graduation and Graduate Outcomes</w:t>
      </w:r>
    </w:p>
    <w:p w14:paraId="591CAACF" w14:textId="77777777" w:rsidR="00B54353" w:rsidRDefault="00F36D8A">
      <w:pPr>
        <w:spacing w:after="100"/>
      </w:pPr>
      <w:r>
        <w:t>For the 2024-2025 reporting cycle, the Program reported 55 M.S.Ed. graduates across its two CACREP-accredited specialized practice areas: 40 in Clinical Mental Health Counseling and 15 in School Counseling. The outcome figures below reflect the program's CACREP Vital Statistics reporting used for this period.</w:t>
      </w:r>
    </w:p>
    <w:tbl>
      <w:tblPr>
        <w:tblW w:w="0" w:type="auto"/>
        <w:jc w:val="center"/>
        <w:tblLayout w:type="fixed"/>
        <w:tblLook w:val="04A0" w:firstRow="1" w:lastRow="0" w:firstColumn="1" w:lastColumn="0" w:noHBand="0" w:noVBand="1"/>
      </w:tblPr>
      <w:tblGrid>
        <w:gridCol w:w="2952"/>
        <w:gridCol w:w="1080"/>
        <w:gridCol w:w="1656"/>
        <w:gridCol w:w="2088"/>
        <w:gridCol w:w="1656"/>
      </w:tblGrid>
      <w:tr w:rsidR="00B54353" w14:paraId="028EF009" w14:textId="77777777">
        <w:trPr>
          <w:cantSplit/>
          <w:jc w:val="center"/>
        </w:trPr>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3BD1A1F0" w14:textId="77777777" w:rsidR="00B54353" w:rsidRDefault="00F36D8A">
            <w:pPr>
              <w:jc w:val="center"/>
            </w:pPr>
            <w:r>
              <w:rPr>
                <w:b/>
                <w:color w:val="FFFFFF"/>
                <w:sz w:val="16"/>
              </w:rPr>
              <w:t>Program / Track</w:t>
            </w:r>
          </w:p>
        </w:tc>
        <w:tc>
          <w:tcPr>
            <w:tcW w:w="1080" w:type="dxa"/>
            <w:tcBorders>
              <w:top w:val="single" w:sz="6" w:space="0" w:color="FFFFFF"/>
              <w:left w:val="single" w:sz="6" w:space="0" w:color="FFFFFF"/>
              <w:bottom w:val="single" w:sz="6" w:space="0" w:color="FFFFFF"/>
              <w:right w:val="single" w:sz="6" w:space="0" w:color="FFFFFF"/>
            </w:tcBorders>
            <w:shd w:val="clear" w:color="auto" w:fill="1F4E78"/>
          </w:tcPr>
          <w:p w14:paraId="743E4CC0" w14:textId="77777777" w:rsidR="00B54353" w:rsidRDefault="00F36D8A">
            <w:pPr>
              <w:jc w:val="center"/>
            </w:pPr>
            <w:r>
              <w:rPr>
                <w:b/>
                <w:color w:val="FFFFFF"/>
                <w:sz w:val="16"/>
              </w:rPr>
              <w:t>Graduates</w:t>
            </w:r>
          </w:p>
        </w:tc>
        <w:tc>
          <w:tcPr>
            <w:tcW w:w="1656" w:type="dxa"/>
            <w:tcBorders>
              <w:top w:val="single" w:sz="6" w:space="0" w:color="FFFFFF"/>
              <w:left w:val="single" w:sz="6" w:space="0" w:color="FFFFFF"/>
              <w:bottom w:val="single" w:sz="6" w:space="0" w:color="FFFFFF"/>
              <w:right w:val="single" w:sz="6" w:space="0" w:color="FFFFFF"/>
            </w:tcBorders>
            <w:shd w:val="clear" w:color="auto" w:fill="1F4E78"/>
          </w:tcPr>
          <w:p w14:paraId="1513566B" w14:textId="77777777" w:rsidR="00B54353" w:rsidRDefault="00F36D8A">
            <w:pPr>
              <w:jc w:val="center"/>
            </w:pPr>
            <w:r>
              <w:rPr>
                <w:b/>
                <w:color w:val="FFFFFF"/>
                <w:sz w:val="16"/>
              </w:rPr>
              <w:t>Completion Rate</w:t>
            </w:r>
          </w:p>
        </w:tc>
        <w:tc>
          <w:tcPr>
            <w:tcW w:w="2088" w:type="dxa"/>
            <w:tcBorders>
              <w:top w:val="single" w:sz="6" w:space="0" w:color="FFFFFF"/>
              <w:left w:val="single" w:sz="6" w:space="0" w:color="FFFFFF"/>
              <w:bottom w:val="single" w:sz="6" w:space="0" w:color="FFFFFF"/>
              <w:right w:val="single" w:sz="6" w:space="0" w:color="FFFFFF"/>
            </w:tcBorders>
            <w:shd w:val="clear" w:color="auto" w:fill="1F4E78"/>
          </w:tcPr>
          <w:p w14:paraId="21E6F34E" w14:textId="77777777" w:rsidR="00B54353" w:rsidRDefault="00F36D8A">
            <w:pPr>
              <w:jc w:val="center"/>
            </w:pPr>
            <w:r>
              <w:rPr>
                <w:b/>
                <w:color w:val="FFFFFF"/>
                <w:sz w:val="16"/>
              </w:rPr>
              <w:t>Credentialing Exam</w:t>
            </w:r>
          </w:p>
        </w:tc>
        <w:tc>
          <w:tcPr>
            <w:tcW w:w="1656" w:type="dxa"/>
            <w:tcBorders>
              <w:top w:val="single" w:sz="6" w:space="0" w:color="FFFFFF"/>
              <w:left w:val="single" w:sz="6" w:space="0" w:color="FFFFFF"/>
              <w:bottom w:val="single" w:sz="6" w:space="0" w:color="FFFFFF"/>
              <w:right w:val="single" w:sz="6" w:space="0" w:color="FFFFFF"/>
            </w:tcBorders>
            <w:shd w:val="clear" w:color="auto" w:fill="1F4E78"/>
          </w:tcPr>
          <w:p w14:paraId="3410C629" w14:textId="77777777" w:rsidR="00B54353" w:rsidRDefault="00F36D8A">
            <w:pPr>
              <w:jc w:val="center"/>
            </w:pPr>
            <w:r>
              <w:rPr>
                <w:b/>
                <w:color w:val="FFFFFF"/>
                <w:sz w:val="16"/>
              </w:rPr>
              <w:t>Job Placement</w:t>
            </w:r>
          </w:p>
        </w:tc>
      </w:tr>
      <w:tr w:rsidR="00B54353" w14:paraId="75E21BB9"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vAlign w:val="center"/>
          </w:tcPr>
          <w:p w14:paraId="409B3447" w14:textId="77777777" w:rsidR="00B54353" w:rsidRDefault="00F36D8A">
            <w:r>
              <w:rPr>
                <w:sz w:val="16"/>
              </w:rPr>
              <w:t>Clinical Mental Health Counseling</w:t>
            </w:r>
          </w:p>
        </w:tc>
        <w:tc>
          <w:tcPr>
            <w:tcW w:w="1080" w:type="dxa"/>
            <w:tcBorders>
              <w:top w:val="single" w:sz="6" w:space="0" w:color="7F7F7F"/>
              <w:left w:val="single" w:sz="6" w:space="0" w:color="7F7F7F"/>
              <w:bottom w:val="single" w:sz="6" w:space="0" w:color="7F7F7F"/>
              <w:right w:val="single" w:sz="6" w:space="0" w:color="7F7F7F"/>
            </w:tcBorders>
            <w:vAlign w:val="center"/>
          </w:tcPr>
          <w:p w14:paraId="1D316BAD" w14:textId="77777777" w:rsidR="00B54353" w:rsidRDefault="00F36D8A">
            <w:pPr>
              <w:jc w:val="center"/>
            </w:pPr>
            <w:r>
              <w:rPr>
                <w:sz w:val="16"/>
              </w:rPr>
              <w:t>40</w:t>
            </w:r>
          </w:p>
        </w:tc>
        <w:tc>
          <w:tcPr>
            <w:tcW w:w="1656" w:type="dxa"/>
            <w:tcBorders>
              <w:top w:val="single" w:sz="6" w:space="0" w:color="7F7F7F"/>
              <w:left w:val="single" w:sz="6" w:space="0" w:color="7F7F7F"/>
              <w:bottom w:val="single" w:sz="6" w:space="0" w:color="7F7F7F"/>
              <w:right w:val="single" w:sz="6" w:space="0" w:color="7F7F7F"/>
            </w:tcBorders>
            <w:vAlign w:val="center"/>
          </w:tcPr>
          <w:p w14:paraId="0BFC9B33" w14:textId="77777777" w:rsidR="00B54353" w:rsidRDefault="00F36D8A">
            <w:pPr>
              <w:jc w:val="center"/>
            </w:pPr>
            <w:r>
              <w:rPr>
                <w:sz w:val="16"/>
              </w:rPr>
              <w:t>97%</w:t>
            </w:r>
          </w:p>
        </w:tc>
        <w:tc>
          <w:tcPr>
            <w:tcW w:w="2088" w:type="dxa"/>
            <w:tcBorders>
              <w:top w:val="single" w:sz="6" w:space="0" w:color="7F7F7F"/>
              <w:left w:val="single" w:sz="6" w:space="0" w:color="7F7F7F"/>
              <w:bottom w:val="single" w:sz="6" w:space="0" w:color="7F7F7F"/>
              <w:right w:val="single" w:sz="6" w:space="0" w:color="7F7F7F"/>
            </w:tcBorders>
            <w:vAlign w:val="center"/>
          </w:tcPr>
          <w:p w14:paraId="74DAB4B6" w14:textId="77777777" w:rsidR="00B54353" w:rsidRDefault="00F36D8A">
            <w:pPr>
              <w:jc w:val="center"/>
            </w:pPr>
            <w:r>
              <w:rPr>
                <w:sz w:val="16"/>
              </w:rPr>
              <w:t>91-100% pass range</w:t>
            </w:r>
          </w:p>
        </w:tc>
        <w:tc>
          <w:tcPr>
            <w:tcW w:w="1656" w:type="dxa"/>
            <w:tcBorders>
              <w:top w:val="single" w:sz="6" w:space="0" w:color="7F7F7F"/>
              <w:left w:val="single" w:sz="6" w:space="0" w:color="7F7F7F"/>
              <w:bottom w:val="single" w:sz="6" w:space="0" w:color="7F7F7F"/>
              <w:right w:val="single" w:sz="6" w:space="0" w:color="7F7F7F"/>
            </w:tcBorders>
            <w:vAlign w:val="center"/>
          </w:tcPr>
          <w:p w14:paraId="0553AB5F" w14:textId="77777777" w:rsidR="00B54353" w:rsidRDefault="00F36D8A">
            <w:pPr>
              <w:jc w:val="center"/>
            </w:pPr>
            <w:r>
              <w:rPr>
                <w:sz w:val="16"/>
              </w:rPr>
              <w:t>91%</w:t>
            </w:r>
          </w:p>
        </w:tc>
      </w:tr>
      <w:tr w:rsidR="00B54353" w14:paraId="7F98F969"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vAlign w:val="center"/>
          </w:tcPr>
          <w:p w14:paraId="7E4E7B98" w14:textId="77777777" w:rsidR="00B54353" w:rsidRDefault="00F36D8A">
            <w:r>
              <w:rPr>
                <w:sz w:val="16"/>
              </w:rPr>
              <w:t>School Counseling</w:t>
            </w:r>
          </w:p>
        </w:tc>
        <w:tc>
          <w:tcPr>
            <w:tcW w:w="1080" w:type="dxa"/>
            <w:tcBorders>
              <w:top w:val="single" w:sz="6" w:space="0" w:color="7F7F7F"/>
              <w:left w:val="single" w:sz="6" w:space="0" w:color="7F7F7F"/>
              <w:bottom w:val="single" w:sz="6" w:space="0" w:color="7F7F7F"/>
              <w:right w:val="single" w:sz="6" w:space="0" w:color="7F7F7F"/>
            </w:tcBorders>
            <w:vAlign w:val="center"/>
          </w:tcPr>
          <w:p w14:paraId="23E86BEF" w14:textId="77777777" w:rsidR="00B54353" w:rsidRDefault="00F36D8A">
            <w:pPr>
              <w:jc w:val="center"/>
            </w:pPr>
            <w:r>
              <w:rPr>
                <w:sz w:val="16"/>
              </w:rPr>
              <w:t>15</w:t>
            </w:r>
          </w:p>
        </w:tc>
        <w:tc>
          <w:tcPr>
            <w:tcW w:w="1656" w:type="dxa"/>
            <w:tcBorders>
              <w:top w:val="single" w:sz="6" w:space="0" w:color="7F7F7F"/>
              <w:left w:val="single" w:sz="6" w:space="0" w:color="7F7F7F"/>
              <w:bottom w:val="single" w:sz="6" w:space="0" w:color="7F7F7F"/>
              <w:right w:val="single" w:sz="6" w:space="0" w:color="7F7F7F"/>
            </w:tcBorders>
            <w:vAlign w:val="center"/>
          </w:tcPr>
          <w:p w14:paraId="26817117" w14:textId="77777777" w:rsidR="00B54353" w:rsidRDefault="00F36D8A">
            <w:pPr>
              <w:jc w:val="center"/>
            </w:pPr>
            <w:r>
              <w:rPr>
                <w:sz w:val="16"/>
              </w:rPr>
              <w:t>99%</w:t>
            </w:r>
          </w:p>
        </w:tc>
        <w:tc>
          <w:tcPr>
            <w:tcW w:w="2088" w:type="dxa"/>
            <w:tcBorders>
              <w:top w:val="single" w:sz="6" w:space="0" w:color="7F7F7F"/>
              <w:left w:val="single" w:sz="6" w:space="0" w:color="7F7F7F"/>
              <w:bottom w:val="single" w:sz="6" w:space="0" w:color="7F7F7F"/>
              <w:right w:val="single" w:sz="6" w:space="0" w:color="7F7F7F"/>
            </w:tcBorders>
            <w:vAlign w:val="center"/>
          </w:tcPr>
          <w:p w14:paraId="4EDC3AD9" w14:textId="77777777" w:rsidR="00B54353" w:rsidRDefault="00F36D8A">
            <w:pPr>
              <w:jc w:val="center"/>
            </w:pPr>
            <w:r>
              <w:rPr>
                <w:sz w:val="16"/>
              </w:rPr>
              <w:t>No separate exam reported</w:t>
            </w:r>
          </w:p>
        </w:tc>
        <w:tc>
          <w:tcPr>
            <w:tcW w:w="1656" w:type="dxa"/>
            <w:tcBorders>
              <w:top w:val="single" w:sz="6" w:space="0" w:color="7F7F7F"/>
              <w:left w:val="single" w:sz="6" w:space="0" w:color="7F7F7F"/>
              <w:bottom w:val="single" w:sz="6" w:space="0" w:color="7F7F7F"/>
              <w:right w:val="single" w:sz="6" w:space="0" w:color="7F7F7F"/>
            </w:tcBorders>
            <w:vAlign w:val="center"/>
          </w:tcPr>
          <w:p w14:paraId="71CA7936" w14:textId="77777777" w:rsidR="00B54353" w:rsidRDefault="00F36D8A">
            <w:pPr>
              <w:jc w:val="center"/>
            </w:pPr>
            <w:r>
              <w:rPr>
                <w:sz w:val="16"/>
              </w:rPr>
              <w:t>95%</w:t>
            </w:r>
          </w:p>
        </w:tc>
      </w:tr>
    </w:tbl>
    <w:p w14:paraId="5D43C258" w14:textId="77777777" w:rsidR="00B54353" w:rsidRDefault="00F36D8A">
      <w:pPr>
        <w:spacing w:after="100"/>
      </w:pPr>
      <w:r>
        <w:t>WEAVE readiness indicator: all 75 students assessed passed the CPCE on the first attempt and scored above the national mean.</w:t>
      </w:r>
    </w:p>
    <w:p w14:paraId="0B83974B" w14:textId="77777777" w:rsidR="00B54353" w:rsidRPr="001916DE" w:rsidRDefault="00F36D8A" w:rsidP="001916DE">
      <w:pPr>
        <w:pStyle w:val="Heading2"/>
        <w:rPr>
          <w:sz w:val="26"/>
        </w:rPr>
      </w:pPr>
      <w:r w:rsidRPr="001916DE">
        <w:rPr>
          <w:sz w:val="26"/>
        </w:rPr>
        <w:t>Program Mission and Evaluation Framework</w:t>
      </w:r>
    </w:p>
    <w:p w14:paraId="524FCC3F" w14:textId="77777777" w:rsidR="00B54353" w:rsidRDefault="00F36D8A">
      <w:pPr>
        <w:spacing w:after="80"/>
      </w:pPr>
      <w:r>
        <w:rPr>
          <w:b/>
        </w:rPr>
        <w:t xml:space="preserve">Mission. </w:t>
      </w:r>
      <w:r>
        <w:t>The M.S.Ed. Counseling Graduate Program equips students with the skills, knowledge, and attitudes needed to function ethically and effectively as professional counselors and prepares advocates and community leaders in mental health and wellness.</w:t>
      </w:r>
    </w:p>
    <w:p w14:paraId="5A5B68F9" w14:textId="77777777" w:rsidR="00B54353" w:rsidRDefault="00F36D8A">
      <w:pPr>
        <w:spacing w:after="120"/>
      </w:pPr>
      <w:r>
        <w:t>The Program continued to use course-embedded KPIs, KPDs, CPCE results, fieldwork evaluations, exit surveys, and site/supervisor evaluations. Results are reviewed through the annual program-evaluation cycle, with student-development issues reviewed during the year and program findings shared with advisory boards.</w:t>
      </w:r>
    </w:p>
    <w:p w14:paraId="2DA3838D" w14:textId="77777777" w:rsidR="008E6720" w:rsidRDefault="008E6720">
      <w:pPr>
        <w:spacing w:after="120"/>
      </w:pPr>
    </w:p>
    <w:p w14:paraId="4AC54CDD" w14:textId="77777777" w:rsidR="008E6720" w:rsidRDefault="008E6720">
      <w:pPr>
        <w:spacing w:after="120"/>
      </w:pPr>
    </w:p>
    <w:p w14:paraId="7FD6FB5C" w14:textId="77777777" w:rsidR="00B54353" w:rsidRPr="001916DE" w:rsidRDefault="00F36D8A" w:rsidP="001916DE">
      <w:pPr>
        <w:pStyle w:val="Heading2"/>
        <w:rPr>
          <w:sz w:val="26"/>
        </w:rPr>
      </w:pPr>
      <w:r w:rsidRPr="001916DE">
        <w:rPr>
          <w:sz w:val="26"/>
        </w:rPr>
        <w:t>Annual Results by Outcome</w:t>
      </w:r>
    </w:p>
    <w:tbl>
      <w:tblPr>
        <w:tblW w:w="0" w:type="auto"/>
        <w:jc w:val="center"/>
        <w:tblLayout w:type="fixed"/>
        <w:tblLook w:val="04A0" w:firstRow="1" w:lastRow="0" w:firstColumn="1" w:lastColumn="0" w:noHBand="0" w:noVBand="1"/>
      </w:tblPr>
      <w:tblGrid>
        <w:gridCol w:w="2952"/>
        <w:gridCol w:w="2952"/>
        <w:gridCol w:w="4608"/>
      </w:tblGrid>
      <w:tr w:rsidR="00B54353" w14:paraId="1A1BC828" w14:textId="77777777">
        <w:trPr>
          <w:cantSplit/>
          <w:tblHeader/>
          <w:jc w:val="center"/>
        </w:trPr>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7575EFA1" w14:textId="77777777" w:rsidR="00B54353" w:rsidRDefault="00F36D8A">
            <w:pPr>
              <w:jc w:val="center"/>
            </w:pPr>
            <w:r>
              <w:rPr>
                <w:b/>
                <w:color w:val="FFFFFF"/>
                <w:sz w:val="16"/>
              </w:rPr>
              <w:t>Outcome / Benchmark</w:t>
            </w:r>
          </w:p>
        </w:tc>
        <w:tc>
          <w:tcPr>
            <w:tcW w:w="2952" w:type="dxa"/>
            <w:tcBorders>
              <w:top w:val="single" w:sz="6" w:space="0" w:color="FFFFFF"/>
              <w:left w:val="single" w:sz="6" w:space="0" w:color="FFFFFF"/>
              <w:bottom w:val="single" w:sz="6" w:space="0" w:color="FFFFFF"/>
              <w:right w:val="single" w:sz="6" w:space="0" w:color="FFFFFF"/>
            </w:tcBorders>
            <w:shd w:val="clear" w:color="auto" w:fill="1F4E78"/>
          </w:tcPr>
          <w:p w14:paraId="4876F364" w14:textId="77777777" w:rsidR="00B54353" w:rsidRDefault="00F36D8A">
            <w:pPr>
              <w:jc w:val="center"/>
            </w:pPr>
            <w:r>
              <w:rPr>
                <w:b/>
                <w:color w:val="FFFFFF"/>
                <w:sz w:val="16"/>
              </w:rPr>
              <w:t>Results</w:t>
            </w:r>
          </w:p>
        </w:tc>
        <w:tc>
          <w:tcPr>
            <w:tcW w:w="4608" w:type="dxa"/>
            <w:tcBorders>
              <w:top w:val="single" w:sz="6" w:space="0" w:color="FFFFFF"/>
              <w:left w:val="single" w:sz="6" w:space="0" w:color="FFFFFF"/>
              <w:bottom w:val="single" w:sz="6" w:space="0" w:color="FFFFFF"/>
              <w:right w:val="single" w:sz="6" w:space="0" w:color="FFFFFF"/>
            </w:tcBorders>
            <w:shd w:val="clear" w:color="auto" w:fill="1F4E78"/>
          </w:tcPr>
          <w:p w14:paraId="16641F91" w14:textId="77777777" w:rsidR="00B54353" w:rsidRDefault="00F36D8A">
            <w:pPr>
              <w:jc w:val="center"/>
            </w:pPr>
            <w:r>
              <w:rPr>
                <w:b/>
                <w:color w:val="FFFFFF"/>
                <w:sz w:val="16"/>
              </w:rPr>
              <w:t>Interpretation, Changes, and Use</w:t>
            </w:r>
          </w:p>
        </w:tc>
      </w:tr>
      <w:tr w:rsidR="00B54353" w14:paraId="6878E6E4"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36DA6F23" w14:textId="77777777" w:rsidR="00B54353" w:rsidRDefault="00F36D8A">
            <w:pPr>
              <w:spacing w:after="0"/>
            </w:pPr>
            <w:r>
              <w:rPr>
                <w:sz w:val="15"/>
              </w:rPr>
              <w:lastRenderedPageBreak/>
              <w:t>Professional Orientation &amp; Ethics</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74E66BED" w14:textId="77777777" w:rsidR="00B54353" w:rsidRDefault="00F36D8A">
            <w:pPr>
              <w:spacing w:after="0"/>
            </w:pPr>
            <w:r>
              <w:rPr>
                <w:sz w:val="15"/>
              </w:rPr>
              <w:t>100% of students received a KPI score of 80 or higher on one or both assessments; no students scored below 80 on either KPI.</w:t>
            </w:r>
          </w:p>
        </w:tc>
        <w:tc>
          <w:tcPr>
            <w:tcW w:w="4608" w:type="dxa"/>
            <w:tcBorders>
              <w:top w:val="single" w:sz="6" w:space="0" w:color="7F7F7F"/>
              <w:left w:val="single" w:sz="6" w:space="0" w:color="7F7F7F"/>
              <w:bottom w:val="single" w:sz="6" w:space="0" w:color="7F7F7F"/>
              <w:right w:val="single" w:sz="6" w:space="0" w:color="7F7F7F"/>
            </w:tcBorders>
          </w:tcPr>
          <w:p w14:paraId="46C7579C" w14:textId="77777777" w:rsidR="00B54353" w:rsidRDefault="00F36D8A">
            <w:pPr>
              <w:spacing w:after="0"/>
            </w:pPr>
            <w:r>
              <w:rPr>
                <w:sz w:val="15"/>
              </w:rPr>
              <w:t>Students were described as succeeding in both online and in-person modalities. Quality Matters preparation for adjuncts remained part of the online quality strategy.</w:t>
            </w:r>
          </w:p>
        </w:tc>
      </w:tr>
      <w:tr w:rsidR="00B54353" w14:paraId="44858CB8"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013EB643" w14:textId="77777777" w:rsidR="00B54353" w:rsidRDefault="00F36D8A">
            <w:pPr>
              <w:spacing w:after="0"/>
            </w:pPr>
            <w:r>
              <w:rPr>
                <w:sz w:val="15"/>
              </w:rPr>
              <w:t>Social &amp; Cultural Diversity</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5DE2DE5D" w14:textId="77777777" w:rsidR="00B54353" w:rsidRDefault="00F36D8A">
            <w:pPr>
              <w:spacing w:after="0"/>
            </w:pPr>
            <w:r>
              <w:rPr>
                <w:sz w:val="15"/>
              </w:rPr>
              <w:t>100% met the benchmark on both assessments.</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63796E33" w14:textId="77777777" w:rsidR="00B54353" w:rsidRDefault="00F36D8A">
            <w:pPr>
              <w:spacing w:after="0"/>
            </w:pPr>
            <w:r>
              <w:rPr>
                <w:sz w:val="15"/>
              </w:rPr>
              <w:t>Scores were similar to, and described as higher than, the prior cycle. Program continued emphasis on highly qualified COUN 655 instructors.</w:t>
            </w:r>
          </w:p>
        </w:tc>
      </w:tr>
      <w:tr w:rsidR="00B54353" w14:paraId="380B8C5D"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527441CA" w14:textId="77777777" w:rsidR="00B54353" w:rsidRDefault="00F36D8A">
            <w:pPr>
              <w:spacing w:after="0"/>
            </w:pPr>
            <w:r>
              <w:rPr>
                <w:sz w:val="15"/>
              </w:rPr>
              <w:t>Human Growth &amp; Development</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510CBF25" w14:textId="77777777" w:rsidR="00B54353" w:rsidRDefault="00F36D8A">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tcPr>
          <w:p w14:paraId="710DC355" w14:textId="77777777" w:rsidR="00B54353" w:rsidRDefault="00F36D8A">
            <w:pPr>
              <w:spacing w:after="0"/>
            </w:pPr>
            <w:r>
              <w:rPr>
                <w:sz w:val="15"/>
              </w:rPr>
              <w:t>Scores were higher than the prior year. Instructor familiarity with the courses and KPI assignments was viewed as supportive of performance.</w:t>
            </w:r>
          </w:p>
        </w:tc>
      </w:tr>
      <w:tr w:rsidR="00B54353" w14:paraId="64C5FFD5"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2E14A89F" w14:textId="77777777" w:rsidR="00B54353" w:rsidRDefault="00F36D8A">
            <w:pPr>
              <w:spacing w:after="0"/>
            </w:pPr>
            <w:r>
              <w:rPr>
                <w:sz w:val="15"/>
              </w:rPr>
              <w:t>Counseling &amp; Helping Relationships</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6995B79F" w14:textId="77777777" w:rsidR="00B54353" w:rsidRDefault="00F36D8A">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2FB24320" w14:textId="77777777" w:rsidR="00B54353" w:rsidRDefault="00F36D8A">
            <w:pPr>
              <w:spacing w:after="0"/>
            </w:pPr>
            <w:r>
              <w:rPr>
                <w:sz w:val="15"/>
              </w:rPr>
              <w:t>Performance remained strong and similar to the prior year. Online skills training continued with synchronous weekly Zoom meetings.</w:t>
            </w:r>
          </w:p>
        </w:tc>
      </w:tr>
      <w:tr w:rsidR="00B54353" w14:paraId="2B312875"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1AF48D16" w14:textId="77777777" w:rsidR="00B54353" w:rsidRDefault="00F36D8A">
            <w:pPr>
              <w:spacing w:after="0"/>
            </w:pPr>
            <w:r>
              <w:rPr>
                <w:sz w:val="15"/>
              </w:rPr>
              <w:t>Group Counseling &amp; Group Work</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32D53E63" w14:textId="77777777" w:rsidR="00B54353" w:rsidRDefault="00F36D8A">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tcPr>
          <w:p w14:paraId="39C73B0D" w14:textId="77777777" w:rsidR="00B54353" w:rsidRDefault="00F36D8A">
            <w:pPr>
              <w:spacing w:after="0"/>
            </w:pPr>
            <w:r>
              <w:rPr>
                <w:sz w:val="15"/>
              </w:rPr>
              <w:t>Performance improved from the prior cycle. The report links success to earlier identification of needs, part-time study options, and added student supports.</w:t>
            </w:r>
          </w:p>
        </w:tc>
      </w:tr>
      <w:tr w:rsidR="00B54353" w14:paraId="5246582B"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17E9D5F7" w14:textId="77777777" w:rsidR="00B54353" w:rsidRDefault="00F36D8A">
            <w:pPr>
              <w:spacing w:after="0"/>
            </w:pPr>
            <w:r>
              <w:rPr>
                <w:sz w:val="15"/>
              </w:rPr>
              <w:t>Career Development</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00C226D2" w14:textId="77777777" w:rsidR="00B54353" w:rsidRDefault="00F36D8A">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335801B5" w14:textId="77777777" w:rsidR="00B54353" w:rsidRDefault="00F36D8A">
            <w:pPr>
              <w:spacing w:after="0"/>
            </w:pPr>
            <w:r>
              <w:rPr>
                <w:sz w:val="15"/>
              </w:rPr>
              <w:t>Performance was strong and similar to the prior cycle; the program continued to monitor online test preparation.</w:t>
            </w:r>
          </w:p>
        </w:tc>
      </w:tr>
      <w:tr w:rsidR="00B54353" w14:paraId="7434DF6D"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6FB13FAC" w14:textId="77777777" w:rsidR="00B54353" w:rsidRDefault="00F36D8A">
            <w:pPr>
              <w:spacing w:after="0"/>
            </w:pPr>
            <w:r>
              <w:rPr>
                <w:sz w:val="15"/>
              </w:rPr>
              <w:t>Assessment &amp; Testing</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7DE4AE1B" w14:textId="77777777" w:rsidR="00B54353" w:rsidRDefault="00F36D8A">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tcPr>
          <w:p w14:paraId="48F82F21" w14:textId="77777777" w:rsidR="00B54353" w:rsidRDefault="00F36D8A">
            <w:pPr>
              <w:spacing w:after="0"/>
            </w:pPr>
            <w:r>
              <w:rPr>
                <w:sz w:val="15"/>
              </w:rPr>
              <w:t>Scores were similar to the prior year. Online students completed only the first KPI during the cycle; test preparation remained under review.</w:t>
            </w:r>
          </w:p>
        </w:tc>
      </w:tr>
      <w:tr w:rsidR="00B54353" w14:paraId="7B3914A8"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2B6C3BA8" w14:textId="77777777" w:rsidR="00B54353" w:rsidRDefault="00F36D8A">
            <w:pPr>
              <w:spacing w:after="0"/>
            </w:pPr>
            <w:r>
              <w:rPr>
                <w:sz w:val="15"/>
              </w:rPr>
              <w:t>Research &amp; Program Evaluation</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72395499" w14:textId="77777777" w:rsidR="00B54353" w:rsidRDefault="00F36D8A">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1C6F771B" w14:textId="77777777" w:rsidR="00B54353" w:rsidRDefault="00F36D8A">
            <w:pPr>
              <w:spacing w:after="0"/>
            </w:pPr>
            <w:r>
              <w:rPr>
                <w:sz w:val="15"/>
              </w:rPr>
              <w:t>Performance remained strong and similar to the prior year; annual monitoring continued.</w:t>
            </w:r>
          </w:p>
        </w:tc>
      </w:tr>
      <w:tr w:rsidR="00B54353" w14:paraId="65E0F91C"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57DA66AB" w14:textId="77777777" w:rsidR="00B54353" w:rsidRDefault="00F36D8A">
            <w:pPr>
              <w:spacing w:after="0"/>
            </w:pPr>
            <w:r>
              <w:rPr>
                <w:sz w:val="15"/>
              </w:rPr>
              <w:t>CMHC Specialty</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tcPr>
          <w:p w14:paraId="70A18EDA" w14:textId="77777777" w:rsidR="00B54353" w:rsidRDefault="00F36D8A">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tcPr>
          <w:p w14:paraId="00F22E25" w14:textId="77777777" w:rsidR="00B54353" w:rsidRDefault="00F36D8A">
            <w:pPr>
              <w:spacing w:after="0"/>
            </w:pPr>
            <w:r>
              <w:rPr>
                <w:sz w:val="15"/>
              </w:rPr>
              <w:t>Students performed well; no specific modification was required beyond continued monitoring of the online track.</w:t>
            </w:r>
          </w:p>
        </w:tc>
      </w:tr>
      <w:tr w:rsidR="00B54353" w14:paraId="45AB4C7E"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02C1A5CE" w14:textId="77777777" w:rsidR="00B54353" w:rsidRDefault="00F36D8A">
            <w:pPr>
              <w:spacing w:after="0"/>
            </w:pPr>
            <w:r>
              <w:rPr>
                <w:sz w:val="15"/>
              </w:rPr>
              <w:t>School Counseling Specialty</w:t>
            </w:r>
            <w:r>
              <w:rPr>
                <w:sz w:val="15"/>
              </w:rPr>
              <w:br/>
              <w:t>Benchmark: ≥85% score ≥80</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5A028DBA" w14:textId="77777777" w:rsidR="00B54353" w:rsidRDefault="00F36D8A">
            <w:pPr>
              <w:spacing w:after="0"/>
            </w:pPr>
            <w:r>
              <w:rPr>
                <w:sz w:val="15"/>
              </w:rPr>
              <w:t>100% met the benchmark.</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2F03F3C3" w14:textId="77777777" w:rsidR="00B54353" w:rsidRDefault="00F36D8A">
            <w:pPr>
              <w:spacing w:after="0"/>
            </w:pPr>
            <w:r>
              <w:rPr>
                <w:sz w:val="15"/>
              </w:rPr>
              <w:t>Scores were higher on average than the prior year. School Counseling remained on-campus.</w:t>
            </w:r>
          </w:p>
        </w:tc>
      </w:tr>
      <w:tr w:rsidR="00B54353" w14:paraId="407976CF"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57A250A5" w14:textId="77777777" w:rsidR="00B54353" w:rsidRDefault="00F36D8A">
            <w:pPr>
              <w:spacing w:after="0"/>
            </w:pPr>
            <w:r>
              <w:rPr>
                <w:sz w:val="15"/>
              </w:rPr>
              <w:t>Key Professional Dispositions</w:t>
            </w:r>
            <w:r>
              <w:rPr>
                <w:sz w:val="15"/>
              </w:rPr>
              <w:br/>
              <w:t>Benchmark: score ≥3 in all KPD areas</w:t>
            </w:r>
          </w:p>
        </w:tc>
        <w:tc>
          <w:tcPr>
            <w:tcW w:w="2952" w:type="dxa"/>
            <w:tcBorders>
              <w:top w:val="single" w:sz="6" w:space="0" w:color="7F7F7F"/>
              <w:left w:val="single" w:sz="6" w:space="0" w:color="7F7F7F"/>
              <w:bottom w:val="single" w:sz="6" w:space="0" w:color="7F7F7F"/>
              <w:right w:val="single" w:sz="6" w:space="0" w:color="7F7F7F"/>
            </w:tcBorders>
          </w:tcPr>
          <w:p w14:paraId="08FC9FBD" w14:textId="77777777" w:rsidR="00B54353" w:rsidRDefault="00F36D8A">
            <w:pPr>
              <w:spacing w:after="0"/>
            </w:pPr>
            <w:r>
              <w:rPr>
                <w:sz w:val="15"/>
              </w:rPr>
              <w:t>All assessed students met the benchmark.</w:t>
            </w:r>
          </w:p>
        </w:tc>
        <w:tc>
          <w:tcPr>
            <w:tcW w:w="4608" w:type="dxa"/>
            <w:tcBorders>
              <w:top w:val="single" w:sz="6" w:space="0" w:color="7F7F7F"/>
              <w:left w:val="single" w:sz="6" w:space="0" w:color="7F7F7F"/>
              <w:bottom w:val="single" w:sz="6" w:space="0" w:color="7F7F7F"/>
              <w:right w:val="single" w:sz="6" w:space="0" w:color="7F7F7F"/>
            </w:tcBorders>
          </w:tcPr>
          <w:p w14:paraId="5E88C84F" w14:textId="77777777" w:rsidR="00B54353" w:rsidRDefault="00F36D8A">
            <w:pPr>
              <w:spacing w:after="0"/>
            </w:pPr>
            <w:r>
              <w:rPr>
                <w:sz w:val="15"/>
              </w:rPr>
              <w:t>Professional dispositions remained a stable strength; online students performed well in KPD-assessed courses.</w:t>
            </w:r>
          </w:p>
        </w:tc>
      </w:tr>
      <w:tr w:rsidR="00B54353" w14:paraId="5218FE6F"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0ECFC38F" w14:textId="77777777" w:rsidR="00B54353" w:rsidRDefault="00F36D8A">
            <w:pPr>
              <w:spacing w:after="0"/>
            </w:pPr>
            <w:r>
              <w:rPr>
                <w:sz w:val="15"/>
              </w:rPr>
              <w:t>Aggregate KPIs / CPCE</w:t>
            </w:r>
            <w:r>
              <w:rPr>
                <w:sz w:val="15"/>
              </w:rPr>
              <w:br/>
              <w:t>Benchmarks: ≥85% aggregate KPI scores &gt;80; ≥85% CPCE pass and national comparison</w:t>
            </w:r>
          </w:p>
        </w:tc>
        <w:tc>
          <w:tcPr>
            <w:tcW w:w="2952" w:type="dxa"/>
            <w:tcBorders>
              <w:top w:val="single" w:sz="6" w:space="0" w:color="7F7F7F"/>
              <w:left w:val="single" w:sz="6" w:space="0" w:color="7F7F7F"/>
              <w:bottom w:val="single" w:sz="6" w:space="0" w:color="7F7F7F"/>
              <w:right w:val="single" w:sz="6" w:space="0" w:color="7F7F7F"/>
            </w:tcBorders>
            <w:shd w:val="clear" w:color="auto" w:fill="FAFAFA"/>
          </w:tcPr>
          <w:p w14:paraId="538E0F0D" w14:textId="77777777" w:rsidR="00B54353" w:rsidRDefault="00F36D8A">
            <w:pPr>
              <w:spacing w:after="0"/>
            </w:pPr>
            <w:r>
              <w:rPr>
                <w:sz w:val="15"/>
              </w:rPr>
              <w:t>90% of learners earned &gt;80 across KPI domains. All 75 CPCE examinees passed on the first attempt and scored above the national mean.</w:t>
            </w:r>
          </w:p>
        </w:tc>
        <w:tc>
          <w:tcPr>
            <w:tcW w:w="4608" w:type="dxa"/>
            <w:tcBorders>
              <w:top w:val="single" w:sz="6" w:space="0" w:color="7F7F7F"/>
              <w:left w:val="single" w:sz="6" w:space="0" w:color="7F7F7F"/>
              <w:bottom w:val="single" w:sz="6" w:space="0" w:color="7F7F7F"/>
              <w:right w:val="single" w:sz="6" w:space="0" w:color="7F7F7F"/>
            </w:tcBorders>
            <w:shd w:val="clear" w:color="auto" w:fill="FAFAFA"/>
          </w:tcPr>
          <w:p w14:paraId="0BE45837" w14:textId="77777777" w:rsidR="00B54353" w:rsidRDefault="00F36D8A">
            <w:pPr>
              <w:spacing w:after="0"/>
            </w:pPr>
            <w:r>
              <w:rPr>
                <w:sz w:val="15"/>
              </w:rPr>
              <w:t>Overall readiness remained strong. Online students had not yet completed the CPCE.</w:t>
            </w:r>
          </w:p>
        </w:tc>
      </w:tr>
      <w:tr w:rsidR="00B54353" w14:paraId="4DA48989" w14:textId="77777777">
        <w:trPr>
          <w:cantSplit/>
          <w:jc w:val="center"/>
        </w:trPr>
        <w:tc>
          <w:tcPr>
            <w:tcW w:w="2952" w:type="dxa"/>
            <w:tcBorders>
              <w:top w:val="single" w:sz="6" w:space="0" w:color="7F7F7F"/>
              <w:left w:val="single" w:sz="6" w:space="0" w:color="7F7F7F"/>
              <w:bottom w:val="single" w:sz="6" w:space="0" w:color="7F7F7F"/>
              <w:right w:val="single" w:sz="6" w:space="0" w:color="7F7F7F"/>
            </w:tcBorders>
          </w:tcPr>
          <w:p w14:paraId="23E5DAF7" w14:textId="77777777" w:rsidR="00B54353" w:rsidRDefault="00F36D8A">
            <w:pPr>
              <w:spacing w:after="0"/>
            </w:pPr>
            <w:r>
              <w:rPr>
                <w:sz w:val="15"/>
              </w:rPr>
              <w:t>Fieldwork / Program Outcomes</w:t>
            </w:r>
            <w:r>
              <w:rPr>
                <w:sz w:val="15"/>
              </w:rPr>
              <w:br/>
              <w:t>Benchmarks: ≥85% acceptable-good field ratings; site/supervisor ≥3.5</w:t>
            </w:r>
          </w:p>
        </w:tc>
        <w:tc>
          <w:tcPr>
            <w:tcW w:w="2952" w:type="dxa"/>
            <w:tcBorders>
              <w:top w:val="single" w:sz="6" w:space="0" w:color="7F7F7F"/>
              <w:left w:val="single" w:sz="6" w:space="0" w:color="7F7F7F"/>
              <w:bottom w:val="single" w:sz="6" w:space="0" w:color="7F7F7F"/>
              <w:right w:val="single" w:sz="6" w:space="0" w:color="7F7F7F"/>
            </w:tcBorders>
          </w:tcPr>
          <w:p w14:paraId="440E0C1F" w14:textId="77777777" w:rsidR="00B54353" w:rsidRDefault="00F36D8A">
            <w:pPr>
              <w:spacing w:after="0"/>
            </w:pPr>
            <w:r>
              <w:rPr>
                <w:sz w:val="15"/>
              </w:rPr>
              <w:t>100% met the student fieldwork benchmark; 9 exit-survey respondents rated the program satisfactory; ~90% rated supervisors ≥3.5. Employer survey was not administered this cycle.</w:t>
            </w:r>
          </w:p>
        </w:tc>
        <w:tc>
          <w:tcPr>
            <w:tcW w:w="4608" w:type="dxa"/>
            <w:tcBorders>
              <w:top w:val="single" w:sz="6" w:space="0" w:color="7F7F7F"/>
              <w:left w:val="single" w:sz="6" w:space="0" w:color="7F7F7F"/>
              <w:bottom w:val="single" w:sz="6" w:space="0" w:color="7F7F7F"/>
              <w:right w:val="single" w:sz="6" w:space="0" w:color="7F7F7F"/>
            </w:tcBorders>
          </w:tcPr>
          <w:p w14:paraId="69F3EBA8" w14:textId="77777777" w:rsidR="00B54353" w:rsidRDefault="00F36D8A">
            <w:pPr>
              <w:spacing w:after="0"/>
            </w:pPr>
            <w:r>
              <w:rPr>
                <w:sz w:val="15"/>
              </w:rPr>
              <w:t>Fieldwork student performance improved to 100%. One site with lower ratings over two years was identified for direct follow-up; online fieldwork ratings were expected in the next cycle.</w:t>
            </w:r>
          </w:p>
        </w:tc>
      </w:tr>
    </w:tbl>
    <w:p w14:paraId="3C3D3020" w14:textId="77777777" w:rsidR="00B54353" w:rsidRPr="001916DE" w:rsidRDefault="00F36D8A" w:rsidP="001916DE">
      <w:pPr>
        <w:pStyle w:val="Heading2"/>
        <w:rPr>
          <w:sz w:val="26"/>
        </w:rPr>
      </w:pPr>
      <w:r w:rsidRPr="001916DE">
        <w:rPr>
          <w:sz w:val="26"/>
        </w:rPr>
        <w:t>Key Strengths</w:t>
      </w:r>
    </w:p>
    <w:p w14:paraId="126C0FEC" w14:textId="77777777" w:rsidR="00B54353" w:rsidRDefault="00F36D8A">
      <w:pPr>
        <w:pStyle w:val="ListBullet"/>
        <w:spacing w:after="40"/>
      </w:pPr>
      <w:r>
        <w:t>All reported KPI-area targets were met.</w:t>
      </w:r>
    </w:p>
    <w:p w14:paraId="56AB9179" w14:textId="77777777" w:rsidR="00B54353" w:rsidRDefault="00F36D8A">
      <w:pPr>
        <w:pStyle w:val="ListBullet"/>
        <w:spacing w:after="40"/>
      </w:pPr>
      <w:r>
        <w:t>100% first-attempt CPCE pass rate among 75 examinees, all above the national mean.</w:t>
      </w:r>
    </w:p>
    <w:p w14:paraId="0EF8A667" w14:textId="77777777" w:rsidR="00B54353" w:rsidRDefault="00F36D8A">
      <w:pPr>
        <w:pStyle w:val="ListBullet"/>
        <w:spacing w:after="40"/>
      </w:pPr>
      <w:r>
        <w:t>Student fieldwork benchmark improved to 100%.</w:t>
      </w:r>
    </w:p>
    <w:p w14:paraId="74146FEB" w14:textId="77777777" w:rsidR="00B54353" w:rsidRDefault="00F36D8A">
      <w:pPr>
        <w:pStyle w:val="ListBullet"/>
        <w:spacing w:after="40"/>
      </w:pPr>
      <w:r>
        <w:t>Professional dispositions remained uniformly strong.</w:t>
      </w:r>
    </w:p>
    <w:p w14:paraId="4F16748B" w14:textId="77777777" w:rsidR="00B54353" w:rsidRPr="001916DE" w:rsidRDefault="00F36D8A" w:rsidP="001916DE">
      <w:pPr>
        <w:pStyle w:val="Heading2"/>
        <w:rPr>
          <w:sz w:val="26"/>
        </w:rPr>
      </w:pPr>
      <w:r w:rsidRPr="001916DE">
        <w:rPr>
          <w:sz w:val="26"/>
        </w:rPr>
        <w:t>Continuous Improvement Priorities</w:t>
      </w:r>
    </w:p>
    <w:p w14:paraId="2B81E12C" w14:textId="77777777" w:rsidR="00B54353" w:rsidRDefault="00F36D8A">
      <w:pPr>
        <w:pStyle w:val="ListBullet"/>
        <w:spacing w:after="40"/>
      </w:pPr>
      <w:r>
        <w:t>Continue monitoring online CMHC student performance as cohorts progress into CPCE and fieldwork.</w:t>
      </w:r>
    </w:p>
    <w:p w14:paraId="30A8254F" w14:textId="77777777" w:rsidR="00B54353" w:rsidRDefault="00F36D8A">
      <w:pPr>
        <w:pStyle w:val="ListBullet"/>
        <w:spacing w:after="40"/>
      </w:pPr>
      <w:r>
        <w:t>Maintain attention to adjunct qualifications, online course quality, and test preparation.</w:t>
      </w:r>
    </w:p>
    <w:p w14:paraId="3DAC16C0" w14:textId="77777777" w:rsidR="00B54353" w:rsidRDefault="00F36D8A">
      <w:pPr>
        <w:pStyle w:val="ListBullet"/>
        <w:spacing w:after="40"/>
      </w:pPr>
      <w:r>
        <w:t>Follow up with the field site receiving lower ratings across two years and document the outcome.</w:t>
      </w:r>
    </w:p>
    <w:p w14:paraId="0DF18F6E" w14:textId="77777777" w:rsidR="00B54353" w:rsidRDefault="00F36D8A">
      <w:pPr>
        <w:pStyle w:val="ListBullet"/>
        <w:spacing w:after="40"/>
      </w:pPr>
      <w:r>
        <w:t>Continue use of early intervention, part-time study plans, and added supports where student needs emerge.</w:t>
      </w:r>
    </w:p>
    <w:p w14:paraId="071833F9" w14:textId="77777777" w:rsidR="00B54353" w:rsidRDefault="00F36D8A">
      <w:pPr>
        <w:spacing w:before="160"/>
      </w:pPr>
      <w:r>
        <w:rPr>
          <w:b/>
          <w:sz w:val="16"/>
        </w:rPr>
        <w:t xml:space="preserve">Source: </w:t>
      </w:r>
      <w:r>
        <w:rPr>
          <w:i/>
          <w:sz w:val="16"/>
        </w:rPr>
        <w:t>Counseling 2024-2025 WEAVE Program Evaluation Report.</w:t>
      </w:r>
    </w:p>
    <w:sectPr w:rsidR="00B54353"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1594468">
    <w:abstractNumId w:val="8"/>
  </w:num>
  <w:num w:numId="2" w16cid:durableId="2105421849">
    <w:abstractNumId w:val="6"/>
  </w:num>
  <w:num w:numId="3" w16cid:durableId="242573357">
    <w:abstractNumId w:val="5"/>
  </w:num>
  <w:num w:numId="4" w16cid:durableId="1519001989">
    <w:abstractNumId w:val="4"/>
  </w:num>
  <w:num w:numId="5" w16cid:durableId="1932008748">
    <w:abstractNumId w:val="7"/>
  </w:num>
  <w:num w:numId="6" w16cid:durableId="505484595">
    <w:abstractNumId w:val="3"/>
  </w:num>
  <w:num w:numId="7" w16cid:durableId="1136220093">
    <w:abstractNumId w:val="2"/>
  </w:num>
  <w:num w:numId="8" w16cid:durableId="1773740582">
    <w:abstractNumId w:val="1"/>
  </w:num>
  <w:num w:numId="9" w16cid:durableId="11107856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16DE"/>
    <w:rsid w:val="0029639D"/>
    <w:rsid w:val="00326F90"/>
    <w:rsid w:val="007E39F7"/>
    <w:rsid w:val="008E6720"/>
    <w:rsid w:val="00AA1D8D"/>
    <w:rsid w:val="00AF65BF"/>
    <w:rsid w:val="00B47730"/>
    <w:rsid w:val="00B54353"/>
    <w:rsid w:val="00CB0664"/>
    <w:rsid w:val="00F36D8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7D6BE29-44BF-41DC-A6EC-C5D39EC7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Weakley, Sydney E.</cp:lastModifiedBy>
  <cp:revision>3</cp:revision>
  <dcterms:created xsi:type="dcterms:W3CDTF">2013-12-23T23:15:00Z</dcterms:created>
  <dcterms:modified xsi:type="dcterms:W3CDTF">2026-08-18T18:04:00Z</dcterms:modified>
  <cp:category/>
</cp:coreProperties>
</file>