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25" w:rsidRDefault="00C82025" w:rsidP="00C82025">
      <w:pPr>
        <w:jc w:val="center"/>
        <w:rPr>
          <w:b/>
          <w:sz w:val="32"/>
          <w:szCs w:val="32"/>
        </w:rPr>
      </w:pPr>
      <w:r w:rsidRPr="00195D6C">
        <w:rPr>
          <w:b/>
          <w:sz w:val="32"/>
          <w:szCs w:val="32"/>
        </w:rPr>
        <w:t>GEAC 2012-13</w:t>
      </w:r>
      <w:r>
        <w:rPr>
          <w:b/>
          <w:sz w:val="32"/>
          <w:szCs w:val="32"/>
        </w:rPr>
        <w:t xml:space="preserve"> Assessment Summit</w:t>
      </w:r>
    </w:p>
    <w:p w:rsidR="00C82025" w:rsidRDefault="00E725CC" w:rsidP="00C82025">
      <w:pPr>
        <w:jc w:val="center"/>
        <w:rPr>
          <w:b/>
          <w:sz w:val="32"/>
          <w:szCs w:val="32"/>
        </w:rPr>
      </w:pPr>
      <w:r>
        <w:rPr>
          <w:b/>
          <w:sz w:val="32"/>
          <w:szCs w:val="32"/>
        </w:rPr>
        <w:t xml:space="preserve">January </w:t>
      </w:r>
      <w:r w:rsidR="00C82025">
        <w:rPr>
          <w:b/>
          <w:sz w:val="32"/>
          <w:szCs w:val="32"/>
        </w:rPr>
        <w:t>2013</w:t>
      </w:r>
    </w:p>
    <w:p w:rsidR="00A13001" w:rsidRDefault="00A13001" w:rsidP="00C82025">
      <w:pPr>
        <w:jc w:val="center"/>
        <w:rPr>
          <w:b/>
          <w:sz w:val="32"/>
          <w:szCs w:val="32"/>
        </w:rPr>
      </w:pPr>
    </w:p>
    <w:p w:rsidR="00A13001" w:rsidRPr="00195D6C" w:rsidRDefault="00A13001" w:rsidP="00C82025">
      <w:pPr>
        <w:jc w:val="center"/>
        <w:rPr>
          <w:b/>
          <w:sz w:val="32"/>
          <w:szCs w:val="32"/>
        </w:rPr>
      </w:pPr>
      <w:r>
        <w:rPr>
          <w:b/>
          <w:sz w:val="32"/>
          <w:szCs w:val="32"/>
        </w:rPr>
        <w:t xml:space="preserve">Written Communication Skills </w:t>
      </w:r>
      <w:r w:rsidR="00E725CC">
        <w:rPr>
          <w:b/>
          <w:sz w:val="32"/>
          <w:szCs w:val="32"/>
        </w:rPr>
        <w:t>(</w:t>
      </w:r>
      <w:r>
        <w:rPr>
          <w:b/>
          <w:sz w:val="32"/>
          <w:szCs w:val="32"/>
        </w:rPr>
        <w:t>200 Level</w:t>
      </w:r>
      <w:r w:rsidR="00E725CC">
        <w:rPr>
          <w:b/>
          <w:sz w:val="32"/>
          <w:szCs w:val="32"/>
        </w:rPr>
        <w:t>) Report</w:t>
      </w:r>
    </w:p>
    <w:p w:rsidR="00C82025" w:rsidRDefault="00C82025" w:rsidP="00C82025">
      <w:pPr>
        <w:rPr>
          <w:b/>
        </w:rPr>
      </w:pPr>
    </w:p>
    <w:p w:rsidR="00F82F39" w:rsidRDefault="00F82F39" w:rsidP="00F82F39">
      <w:r>
        <w:t>The General Education Assessment Committee (GEAC), co-chaired by Charles Wilson and Worth Pickering, developed a process for assessing all goals of the 2010 Revised General Education Curriculum plus critical thinking (a SCHEV requirement) on a four-year cycle. During 2011-12 assessment data were col</w:t>
      </w:r>
      <w:r w:rsidR="00626CF2">
        <w:t>lected for Language and Culture,</w:t>
      </w:r>
      <w:r>
        <w:t xml:space="preserve"> Written Communication Skills, and Critical Thinking. Language and Culture data were collected and analyzed by the Department of Foreign Languages and Literature. GEAC convened the first Assessment Summit in January 2013 with the goal of training and calibrating raters to assess written artifacts, rating the written artifacts, and drafting reports of what is done well and what may need improvement in writing and critical thinking. </w:t>
      </w:r>
    </w:p>
    <w:p w:rsidR="00F82F39" w:rsidRDefault="00F82F39" w:rsidP="00F82F39"/>
    <w:p w:rsidR="00C82025" w:rsidRDefault="00F82F39" w:rsidP="00F82F39">
      <w:r>
        <w:t>There are three goals of General Education (GE) that address writing – Written Communication Skills, 100 Level; Written Communication Skills, 200 Level; and Written Communication within the Major. Each goal has a unique set of student learning outcomes (SLO). This report addresses the Written Communication Skills, 200 Level which is addressed in ENGL 211</w:t>
      </w:r>
      <w:r w:rsidR="00C3304A">
        <w:t>C</w:t>
      </w:r>
      <w:r>
        <w:t xml:space="preserve"> / 221</w:t>
      </w:r>
      <w:r w:rsidR="00C3304A">
        <w:t>C</w:t>
      </w:r>
      <w:r>
        <w:t xml:space="preserve"> /231</w:t>
      </w:r>
      <w:r w:rsidR="00C3304A">
        <w:t>C</w:t>
      </w:r>
      <w:r>
        <w:t>. Following are descriptions of the assessment methodology, results of the assessment, and recommendations for improving Written Communication Skills at the 200 Level.</w:t>
      </w:r>
      <w:r w:rsidR="00C82025">
        <w:t xml:space="preserve"> </w:t>
      </w:r>
    </w:p>
    <w:p w:rsidR="00C82025" w:rsidRDefault="00C82025" w:rsidP="00C82025"/>
    <w:p w:rsidR="00671585" w:rsidRDefault="00671585" w:rsidP="00C82025"/>
    <w:p w:rsidR="00C82025" w:rsidRDefault="00C82025" w:rsidP="00C82025">
      <w:pPr>
        <w:jc w:val="center"/>
        <w:rPr>
          <w:b/>
          <w:sz w:val="28"/>
          <w:szCs w:val="28"/>
        </w:rPr>
      </w:pPr>
      <w:r>
        <w:rPr>
          <w:b/>
          <w:sz w:val="28"/>
          <w:szCs w:val="28"/>
        </w:rPr>
        <w:t>Methodology</w:t>
      </w:r>
    </w:p>
    <w:p w:rsidR="00C82025" w:rsidRDefault="00C82025" w:rsidP="00C82025">
      <w:pPr>
        <w:rPr>
          <w:b/>
        </w:rPr>
      </w:pPr>
    </w:p>
    <w:p w:rsidR="00C82025" w:rsidRPr="001A7861" w:rsidRDefault="00C82025" w:rsidP="00C82025">
      <w:pPr>
        <w:rPr>
          <w:b/>
          <w:u w:val="single"/>
        </w:rPr>
      </w:pPr>
      <w:r w:rsidRPr="001A7861">
        <w:rPr>
          <w:b/>
          <w:u w:val="single"/>
        </w:rPr>
        <w:t>Artifacts</w:t>
      </w:r>
    </w:p>
    <w:p w:rsidR="00C82025" w:rsidRDefault="00C82025" w:rsidP="00C82025"/>
    <w:p w:rsidR="00C82025" w:rsidRDefault="00C82025" w:rsidP="007D2437">
      <w:r>
        <w:t xml:space="preserve">The artifacts for Written Communication Skills, 200 Level were selected from ENGL 211C, 221C, and 231C courses which are the three courses that meet the requirement. ENGL 211C is the conventional English Composition course while ENGL 221C is an Introduction to Writing in Business, Education, and the Social Sciences and ENGL 231C is an Introduction to Technical Writing. The Director of Composition asked instructors teaching those courses and using Blackboard during spring semester 2012 to identify a member the Assessment staff as a Teaching Assistant so she could access their portfolios. Rather than read and rate one artifact GEAC decided that it was best to read and rate the entire portfolio. Thirty portfolios were randomly selected from among the 86 collected across three sections of ENGL 211C, one section </w:t>
      </w:r>
      <w:r w:rsidR="00C3304A">
        <w:t>of</w:t>
      </w:r>
      <w:r>
        <w:t xml:space="preserve"> ENGL 221C and three sections of ENGL 231C.</w:t>
      </w:r>
    </w:p>
    <w:p w:rsidR="00C82025" w:rsidRDefault="00C82025" w:rsidP="00C82025"/>
    <w:p w:rsidR="00C82025" w:rsidRPr="00971BA8" w:rsidRDefault="00C82025" w:rsidP="00C82025">
      <w:pPr>
        <w:rPr>
          <w:b/>
          <w:u w:val="single"/>
        </w:rPr>
      </w:pPr>
      <w:r w:rsidRPr="00971BA8">
        <w:rPr>
          <w:b/>
          <w:u w:val="single"/>
        </w:rPr>
        <w:t>Rubrics</w:t>
      </w:r>
    </w:p>
    <w:p w:rsidR="00C82025" w:rsidRPr="005C0C01" w:rsidRDefault="00C82025" w:rsidP="00C82025"/>
    <w:p w:rsidR="00C82025" w:rsidRDefault="00C82025" w:rsidP="00C82025">
      <w:r w:rsidRPr="005C0C01">
        <w:t>GEAC developed rubrics for ra</w:t>
      </w:r>
      <w:r>
        <w:t>t</w:t>
      </w:r>
      <w:r w:rsidRPr="005C0C01">
        <w:t>ing</w:t>
      </w:r>
      <w:r>
        <w:t xml:space="preserve"> each one of the student learning outcomes (SLO) for each of the goals of general education. When possible the Valid Assessment of Learning in Undergraduate Education (VALUE) rubrics developed by the Association of American Colleges and Universities (AAC&amp;U) were used at least as a starting point for developing the ODU rubrics.</w:t>
      </w:r>
    </w:p>
    <w:p w:rsidR="00C82025" w:rsidRDefault="00C82025" w:rsidP="00C82025"/>
    <w:p w:rsidR="00C82025" w:rsidRDefault="00C82025" w:rsidP="00C82025">
      <w:r>
        <w:t xml:space="preserve">The VALUE rubrics </w:t>
      </w:r>
      <w:r w:rsidR="00C3304A">
        <w:t>did not align well with</w:t>
      </w:r>
      <w:r>
        <w:t xml:space="preserve"> ENGL 211C / 221C / 231C so the rubric was developed by the </w:t>
      </w:r>
      <w:r w:rsidR="00C3304A">
        <w:t xml:space="preserve">Office of </w:t>
      </w:r>
      <w:r>
        <w:t>Assessment</w:t>
      </w:r>
      <w:r w:rsidR="00C3304A">
        <w:t xml:space="preserve"> </w:t>
      </w:r>
      <w:r w:rsidR="00C3304A" w:rsidRPr="00C3304A">
        <w:t>with guidance from the Director of Composition</w:t>
      </w:r>
      <w:r>
        <w:t xml:space="preserve"> (see attached). The Assessment staff listed the four SLO for ENGL </w:t>
      </w:r>
      <w:r w:rsidRPr="00121DA2">
        <w:t xml:space="preserve">211C / 221C / 231C </w:t>
      </w:r>
      <w:r>
        <w:t xml:space="preserve">and wrote </w:t>
      </w:r>
      <w:r>
        <w:lastRenderedPageBreak/>
        <w:t>statements that demonstrated the four ratings of “Exceeds Standard,” “Meets Standard,” “Approaches Standard,” and “Needs Attention.” The rubric was reviewed by other Assessment staff, GEAC team, and the Director of Composition. In addition, the first step of the calibration process with raters was to review and critique the rubric. Raters also made further adjustments to the rubric after rating the first few artifacts.</w:t>
      </w:r>
    </w:p>
    <w:p w:rsidR="00671585" w:rsidRDefault="00671585" w:rsidP="00C82025">
      <w:pPr>
        <w:rPr>
          <w:b/>
          <w:u w:val="single"/>
        </w:rPr>
      </w:pPr>
    </w:p>
    <w:p w:rsidR="00C82025" w:rsidRPr="00971BA8" w:rsidRDefault="00C82025" w:rsidP="00C82025">
      <w:pPr>
        <w:rPr>
          <w:b/>
          <w:u w:val="single"/>
        </w:rPr>
      </w:pPr>
      <w:r w:rsidRPr="00971BA8">
        <w:rPr>
          <w:b/>
          <w:u w:val="single"/>
        </w:rPr>
        <w:t>Raters</w:t>
      </w:r>
    </w:p>
    <w:p w:rsidR="00C82025" w:rsidRDefault="00C82025" w:rsidP="00C82025"/>
    <w:p w:rsidR="00C82025" w:rsidRDefault="00C82025" w:rsidP="00C82025">
      <w:r>
        <w:t xml:space="preserve">GEAC members recruited raters from among teaching and administrative faculty, retired faculty, adjunct faculty, and Graduate Teaching Assistants (GTAs). The raters for ENGL 211C / 221C / 231C included an Instructor in English, a Librarian, and two GTAs. </w:t>
      </w:r>
    </w:p>
    <w:p w:rsidR="00C82025" w:rsidRDefault="00C82025" w:rsidP="00C82025"/>
    <w:p w:rsidR="00C82025" w:rsidRPr="00971BA8" w:rsidRDefault="00C82025" w:rsidP="00C82025">
      <w:pPr>
        <w:rPr>
          <w:b/>
          <w:u w:val="single"/>
        </w:rPr>
      </w:pPr>
      <w:r w:rsidRPr="00971BA8">
        <w:rPr>
          <w:b/>
          <w:u w:val="single"/>
        </w:rPr>
        <w:t>Calibration</w:t>
      </w:r>
    </w:p>
    <w:p w:rsidR="00C82025" w:rsidRDefault="00C82025" w:rsidP="00C82025"/>
    <w:p w:rsidR="00C82025" w:rsidRDefault="00D67018" w:rsidP="00C82025">
      <w:r w:rsidRPr="00D67018">
        <w:t xml:space="preserve">All groups engaged in the same calibration process. The ENGL 211C / 221C / 231C </w:t>
      </w:r>
      <w:r>
        <w:t>group was</w:t>
      </w:r>
      <w:r w:rsidR="00C82025">
        <w:t xml:space="preserve"> led by </w:t>
      </w:r>
      <w:r>
        <w:t>three</w:t>
      </w:r>
      <w:r w:rsidR="00C82025">
        <w:t xml:space="preserve"> members of the GEAC </w:t>
      </w:r>
      <w:r w:rsidR="00626CF2">
        <w:t xml:space="preserve">including </w:t>
      </w:r>
      <w:r>
        <w:t>a faculty member</w:t>
      </w:r>
      <w:r w:rsidR="00C82025">
        <w:t xml:space="preserve"> with special expertise in writing. </w:t>
      </w:r>
      <w:r w:rsidRPr="00D67018">
        <w:t>The calibration process included:</w:t>
      </w:r>
    </w:p>
    <w:p w:rsidR="00C82025" w:rsidRDefault="00C82025" w:rsidP="00C82025"/>
    <w:p w:rsidR="00C82025" w:rsidRDefault="00C82025" w:rsidP="00C82025">
      <w:pPr>
        <w:pStyle w:val="ListParagraph"/>
        <w:numPr>
          <w:ilvl w:val="0"/>
          <w:numId w:val="24"/>
        </w:numPr>
      </w:pPr>
      <w:r>
        <w:t>Review</w:t>
      </w:r>
      <w:r w:rsidR="00D67018">
        <w:t>ing</w:t>
      </w:r>
      <w:r>
        <w:t xml:space="preserve"> the 2010 Revised General Education Goal </w:t>
      </w:r>
      <w:r w:rsidR="00D67018">
        <w:t>(</w:t>
      </w:r>
      <w:r>
        <w:t xml:space="preserve">or the VALUE Rubric for critical thinking which </w:t>
      </w:r>
      <w:proofErr w:type="gramStart"/>
      <w:r>
        <w:t>is not a specified goal of general education</w:t>
      </w:r>
      <w:proofErr w:type="gramEnd"/>
      <w:r w:rsidR="00D67018">
        <w:t>)</w:t>
      </w:r>
      <w:r>
        <w:t>.</w:t>
      </w:r>
    </w:p>
    <w:p w:rsidR="00C82025" w:rsidRDefault="00C82025" w:rsidP="00C82025">
      <w:pPr>
        <w:pStyle w:val="ListParagraph"/>
        <w:numPr>
          <w:ilvl w:val="0"/>
          <w:numId w:val="24"/>
        </w:numPr>
      </w:pPr>
      <w:r>
        <w:t>Review</w:t>
      </w:r>
      <w:r w:rsidR="00D67018">
        <w:t>ing</w:t>
      </w:r>
      <w:r>
        <w:t xml:space="preserve"> the rubric, both the scale (</w:t>
      </w:r>
      <w:r w:rsidRPr="006630B5">
        <w:t xml:space="preserve">“Exceeds Standard,” “Meets Standard,” “Approaches </w:t>
      </w:r>
      <w:r>
        <w:t>Standard,” and “Needs Attention</w:t>
      </w:r>
      <w:proofErr w:type="gramStart"/>
      <w:r w:rsidRPr="006630B5">
        <w:t xml:space="preserve">” </w:t>
      </w:r>
      <w:r>
        <w:t>)</w:t>
      </w:r>
      <w:proofErr w:type="gramEnd"/>
      <w:r w:rsidR="00626CF2">
        <w:t>,</w:t>
      </w:r>
      <w:r>
        <w:t xml:space="preserve"> and each individual SLO. Raters were instructed that GEAC expected that the “average” student would “Meet Standard.”</w:t>
      </w:r>
      <w:r w:rsidRPr="006630B5">
        <w:t xml:space="preserve"> </w:t>
      </w:r>
      <w:r>
        <w:t xml:space="preserve"> Each SLO was reviewed with some discussion about the differences between the four scores. Minor edits were made to several of the rubrics.</w:t>
      </w:r>
    </w:p>
    <w:p w:rsidR="00C82025" w:rsidRDefault="00C82025" w:rsidP="00C82025">
      <w:pPr>
        <w:pStyle w:val="ListParagraph"/>
        <w:numPr>
          <w:ilvl w:val="0"/>
          <w:numId w:val="24"/>
        </w:numPr>
      </w:pPr>
      <w:r>
        <w:t>Read</w:t>
      </w:r>
      <w:r w:rsidR="00D67018">
        <w:t>ing</w:t>
      </w:r>
      <w:r>
        <w:t xml:space="preserve"> and rat</w:t>
      </w:r>
      <w:r w:rsidR="00D67018">
        <w:t>ing</w:t>
      </w:r>
      <w:r>
        <w:t xml:space="preserve"> sample artifacts. </w:t>
      </w:r>
    </w:p>
    <w:p w:rsidR="00C82025" w:rsidRDefault="00C82025" w:rsidP="00C82025">
      <w:pPr>
        <w:pStyle w:val="ListParagraph"/>
        <w:numPr>
          <w:ilvl w:val="1"/>
          <w:numId w:val="24"/>
        </w:numPr>
      </w:pPr>
      <w:r>
        <w:t xml:space="preserve">All raters and group leaders read and rated the same artifact. The leaders tallied the ratings and led discussions about why we chose different scores. </w:t>
      </w:r>
    </w:p>
    <w:p w:rsidR="00C82025" w:rsidRDefault="00C82025" w:rsidP="00C82025">
      <w:pPr>
        <w:pStyle w:val="ListParagraph"/>
        <w:numPr>
          <w:ilvl w:val="1"/>
          <w:numId w:val="24"/>
        </w:numPr>
      </w:pPr>
      <w:r>
        <w:t xml:space="preserve">We read a second and third sample (perhaps a fourth as well) using the same process until the leaders </w:t>
      </w:r>
      <w:r w:rsidR="00D67018">
        <w:t>determined</w:t>
      </w:r>
      <w:r>
        <w:t xml:space="preserve"> the raters were calibrated.</w:t>
      </w:r>
    </w:p>
    <w:p w:rsidR="00C82025" w:rsidRPr="006630B5" w:rsidRDefault="00C82025" w:rsidP="00C82025"/>
    <w:p w:rsidR="00C82025" w:rsidRPr="00971BA8" w:rsidRDefault="00C82025" w:rsidP="00C82025">
      <w:pPr>
        <w:rPr>
          <w:b/>
          <w:u w:val="single"/>
        </w:rPr>
      </w:pPr>
      <w:r w:rsidRPr="00971BA8">
        <w:rPr>
          <w:b/>
          <w:u w:val="single"/>
        </w:rPr>
        <w:t>Rating</w:t>
      </w:r>
    </w:p>
    <w:p w:rsidR="00C82025" w:rsidRDefault="00C82025" w:rsidP="00C82025"/>
    <w:p w:rsidR="00C82025" w:rsidRDefault="00C82025" w:rsidP="00C82025">
      <w:r>
        <w:t>Raters were instructed that we would be using analytical scoring whereby they would read the portfolio completely one time and then score each SLO individually. Two raters read and rated each portfolio and the goal of calibration was to get to the point where the two raters would not differ by more than one point.</w:t>
      </w:r>
    </w:p>
    <w:p w:rsidR="00C82025" w:rsidRDefault="00C82025" w:rsidP="00C82025"/>
    <w:p w:rsidR="00C82025" w:rsidRDefault="00C82025" w:rsidP="00C82025">
      <w:r>
        <w:t xml:space="preserve">The raters read </w:t>
      </w:r>
      <w:r w:rsidR="00100229" w:rsidRPr="00100229">
        <w:t xml:space="preserve">ENGL 211C / 221C / 231C </w:t>
      </w:r>
      <w:r>
        <w:t xml:space="preserve">portfolios on Blackboard and scored the </w:t>
      </w:r>
      <w:r w:rsidR="00100229">
        <w:t>portfolio</w:t>
      </w:r>
      <w:r>
        <w:t>s using Qualtrics, the University’s web based survey tool. Qualtrics allowed the Assessment Team to monitor the results and identify those artifacts on which raters disagreed by more than a point. A third rater was assigned to rate those artifacts and make the final decision.</w:t>
      </w:r>
    </w:p>
    <w:p w:rsidR="00C82025" w:rsidRDefault="00C82025" w:rsidP="00C82025"/>
    <w:p w:rsidR="00C82025" w:rsidRDefault="00C82025" w:rsidP="00C82025">
      <w:r>
        <w:t>The raters worked independently for approximately 6-8 hours over two days. GEAC members monitored the rating sessions and answered questions as they arose.</w:t>
      </w:r>
    </w:p>
    <w:p w:rsidR="00C82025" w:rsidRDefault="00C82025" w:rsidP="00C82025"/>
    <w:p w:rsidR="00626CF2" w:rsidRDefault="00626CF2" w:rsidP="00C82025">
      <w:pPr>
        <w:rPr>
          <w:b/>
          <w:u w:val="single"/>
        </w:rPr>
      </w:pPr>
    </w:p>
    <w:p w:rsidR="00626CF2" w:rsidRDefault="00626CF2" w:rsidP="00C82025">
      <w:pPr>
        <w:rPr>
          <w:b/>
          <w:u w:val="single"/>
        </w:rPr>
      </w:pPr>
    </w:p>
    <w:p w:rsidR="00671585" w:rsidRDefault="008800F7" w:rsidP="00C82025">
      <w:pPr>
        <w:rPr>
          <w:b/>
          <w:u w:val="single"/>
        </w:rPr>
      </w:pPr>
      <w:r>
        <w:rPr>
          <w:b/>
          <w:u w:val="single"/>
        </w:rPr>
        <w:lastRenderedPageBreak/>
        <w:t>Inter-R</w:t>
      </w:r>
      <w:r w:rsidR="00671585">
        <w:rPr>
          <w:b/>
          <w:u w:val="single"/>
        </w:rPr>
        <w:t>ater Reliability</w:t>
      </w:r>
    </w:p>
    <w:p w:rsidR="00671585" w:rsidRPr="00671585" w:rsidRDefault="00671585" w:rsidP="00C82025"/>
    <w:p w:rsidR="008800F7" w:rsidRDefault="008800F7" w:rsidP="008800F7">
      <w:r w:rsidRPr="008800F7">
        <w:t xml:space="preserve">The ratings by the two raters who read each artifact / portfolio were compared to see if they matched, were off by one point, or were off by two or more points. In addition, raters were permitted to rate an SLO as </w:t>
      </w:r>
      <w:r w:rsidR="00100229" w:rsidRPr="00100229">
        <w:t xml:space="preserve">Not Applicable (NA) </w:t>
      </w:r>
      <w:r w:rsidRPr="008800F7">
        <w:t xml:space="preserve">if it was not addressed in the portfolio. The results of this analysis appear in the following table and show that </w:t>
      </w:r>
      <w:r w:rsidR="00B06AAE">
        <w:t>90% or more of the ratings were exact matches or off by one point</w:t>
      </w:r>
      <w:r w:rsidRPr="008800F7">
        <w:t xml:space="preserve">. There were </w:t>
      </w:r>
      <w:r>
        <w:t>f</w:t>
      </w:r>
      <w:r w:rsidR="00B90C32">
        <w:t>our</w:t>
      </w:r>
      <w:r w:rsidRPr="008800F7">
        <w:t xml:space="preserve"> portfolios that required a third reader because they differed by more than one point on more than half of the SLO.</w:t>
      </w:r>
      <w:r w:rsidR="000A5997">
        <w:t xml:space="preserve"> </w:t>
      </w:r>
      <w:r w:rsidR="000A5997" w:rsidRPr="000A5997">
        <w:t xml:space="preserve">The third rating was accepted as the final rating for those </w:t>
      </w:r>
      <w:r w:rsidR="000A5997">
        <w:t>f</w:t>
      </w:r>
      <w:r w:rsidR="00B90C32">
        <w:t>our</w:t>
      </w:r>
      <w:r w:rsidR="000A5997" w:rsidRPr="000A5997">
        <w:t xml:space="preserve"> portfolios.</w:t>
      </w:r>
    </w:p>
    <w:p w:rsidR="000A5997" w:rsidRPr="008800F7" w:rsidRDefault="000A5997" w:rsidP="008800F7"/>
    <w:p w:rsidR="008800F7" w:rsidRPr="008800F7" w:rsidRDefault="008800F7" w:rsidP="008800F7"/>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957"/>
        <w:gridCol w:w="957"/>
        <w:gridCol w:w="957"/>
        <w:gridCol w:w="957"/>
        <w:gridCol w:w="958"/>
        <w:gridCol w:w="958"/>
        <w:gridCol w:w="1024"/>
        <w:gridCol w:w="892"/>
        <w:gridCol w:w="958"/>
        <w:gridCol w:w="958"/>
      </w:tblGrid>
      <w:tr w:rsidR="008800F7" w:rsidRPr="008800F7" w:rsidTr="00BF0663">
        <w:tc>
          <w:tcPr>
            <w:tcW w:w="9576" w:type="dxa"/>
            <w:gridSpan w:val="10"/>
            <w:tcBorders>
              <w:bottom w:val="single" w:sz="4" w:space="0" w:color="auto"/>
            </w:tcBorders>
          </w:tcPr>
          <w:p w:rsidR="008800F7" w:rsidRPr="008800F7" w:rsidRDefault="008800F7" w:rsidP="008800F7">
            <w:pPr>
              <w:jc w:val="center"/>
              <w:rPr>
                <w:b/>
              </w:rPr>
            </w:pPr>
            <w:r w:rsidRPr="008800F7">
              <w:rPr>
                <w:b/>
              </w:rPr>
              <w:t xml:space="preserve">ENGL </w:t>
            </w:r>
            <w:r w:rsidR="000A5997">
              <w:rPr>
                <w:b/>
              </w:rPr>
              <w:t>2</w:t>
            </w:r>
            <w:r w:rsidRPr="008800F7">
              <w:rPr>
                <w:b/>
              </w:rPr>
              <w:t>110C</w:t>
            </w:r>
            <w:r w:rsidR="000A5997">
              <w:rPr>
                <w:b/>
              </w:rPr>
              <w:t xml:space="preserve"> / 221C / 231C </w:t>
            </w:r>
            <w:r w:rsidRPr="008800F7">
              <w:rPr>
                <w:b/>
              </w:rPr>
              <w:t>Inter-Rater Reliability</w:t>
            </w:r>
          </w:p>
        </w:tc>
      </w:tr>
      <w:tr w:rsidR="008800F7" w:rsidRPr="005332AB" w:rsidTr="00BF0663">
        <w:tc>
          <w:tcPr>
            <w:tcW w:w="957" w:type="dxa"/>
            <w:tcBorders>
              <w:top w:val="single" w:sz="4" w:space="0" w:color="auto"/>
              <w:left w:val="single" w:sz="4" w:space="0" w:color="auto"/>
            </w:tcBorders>
          </w:tcPr>
          <w:p w:rsidR="008800F7" w:rsidRPr="005332AB" w:rsidRDefault="008800F7" w:rsidP="008800F7">
            <w:pPr>
              <w:jc w:val="center"/>
              <w:rPr>
                <w:b/>
              </w:rPr>
            </w:pPr>
            <w:r w:rsidRPr="005332AB">
              <w:rPr>
                <w:b/>
              </w:rPr>
              <w:t>SLO</w:t>
            </w:r>
          </w:p>
        </w:tc>
        <w:tc>
          <w:tcPr>
            <w:tcW w:w="1914" w:type="dxa"/>
            <w:gridSpan w:val="2"/>
            <w:tcBorders>
              <w:top w:val="single" w:sz="4" w:space="0" w:color="auto"/>
            </w:tcBorders>
          </w:tcPr>
          <w:p w:rsidR="008800F7" w:rsidRPr="005332AB" w:rsidRDefault="008800F7" w:rsidP="008800F7">
            <w:pPr>
              <w:jc w:val="center"/>
              <w:rPr>
                <w:b/>
              </w:rPr>
            </w:pPr>
            <w:r w:rsidRPr="005332AB">
              <w:rPr>
                <w:b/>
              </w:rPr>
              <w:t>Exact Match</w:t>
            </w:r>
          </w:p>
        </w:tc>
        <w:tc>
          <w:tcPr>
            <w:tcW w:w="1915" w:type="dxa"/>
            <w:gridSpan w:val="2"/>
            <w:tcBorders>
              <w:top w:val="single" w:sz="4" w:space="0" w:color="auto"/>
            </w:tcBorders>
          </w:tcPr>
          <w:p w:rsidR="008800F7" w:rsidRPr="005332AB" w:rsidRDefault="008800F7" w:rsidP="008800F7">
            <w:pPr>
              <w:jc w:val="center"/>
              <w:rPr>
                <w:b/>
              </w:rPr>
            </w:pPr>
            <w:r w:rsidRPr="005332AB">
              <w:rPr>
                <w:b/>
              </w:rPr>
              <w:t>Off by 1</w:t>
            </w:r>
          </w:p>
        </w:tc>
        <w:tc>
          <w:tcPr>
            <w:tcW w:w="1982" w:type="dxa"/>
            <w:gridSpan w:val="2"/>
            <w:tcBorders>
              <w:top w:val="single" w:sz="4" w:space="0" w:color="auto"/>
            </w:tcBorders>
          </w:tcPr>
          <w:p w:rsidR="008800F7" w:rsidRPr="005332AB" w:rsidRDefault="008800F7" w:rsidP="008800F7">
            <w:pPr>
              <w:jc w:val="center"/>
              <w:rPr>
                <w:b/>
              </w:rPr>
            </w:pPr>
            <w:r w:rsidRPr="005332AB">
              <w:rPr>
                <w:b/>
              </w:rPr>
              <w:t>Off by 2 or More</w:t>
            </w:r>
          </w:p>
        </w:tc>
        <w:tc>
          <w:tcPr>
            <w:tcW w:w="1850" w:type="dxa"/>
            <w:gridSpan w:val="2"/>
            <w:tcBorders>
              <w:top w:val="single" w:sz="4" w:space="0" w:color="auto"/>
            </w:tcBorders>
          </w:tcPr>
          <w:p w:rsidR="008800F7" w:rsidRPr="005332AB" w:rsidRDefault="008800F7" w:rsidP="008800F7">
            <w:pPr>
              <w:jc w:val="center"/>
              <w:rPr>
                <w:b/>
              </w:rPr>
            </w:pPr>
            <w:r w:rsidRPr="005332AB">
              <w:rPr>
                <w:b/>
              </w:rPr>
              <w:t>Total</w:t>
            </w:r>
          </w:p>
        </w:tc>
        <w:tc>
          <w:tcPr>
            <w:tcW w:w="958" w:type="dxa"/>
            <w:tcBorders>
              <w:top w:val="single" w:sz="4" w:space="0" w:color="auto"/>
              <w:right w:val="single" w:sz="4" w:space="0" w:color="auto"/>
            </w:tcBorders>
          </w:tcPr>
          <w:p w:rsidR="008800F7" w:rsidRPr="005332AB" w:rsidRDefault="008800F7" w:rsidP="008800F7">
            <w:pPr>
              <w:jc w:val="center"/>
              <w:rPr>
                <w:b/>
              </w:rPr>
            </w:pPr>
            <w:r w:rsidRPr="005332AB">
              <w:rPr>
                <w:b/>
              </w:rPr>
              <w:t>NA</w:t>
            </w:r>
          </w:p>
        </w:tc>
      </w:tr>
      <w:tr w:rsidR="008800F7" w:rsidRPr="005332AB" w:rsidTr="00BF0663">
        <w:tc>
          <w:tcPr>
            <w:tcW w:w="957" w:type="dxa"/>
            <w:tcBorders>
              <w:top w:val="single" w:sz="4" w:space="0" w:color="auto"/>
              <w:left w:val="single" w:sz="4" w:space="0" w:color="auto"/>
            </w:tcBorders>
          </w:tcPr>
          <w:p w:rsidR="008800F7" w:rsidRPr="005332AB" w:rsidRDefault="008800F7" w:rsidP="008800F7"/>
        </w:tc>
        <w:tc>
          <w:tcPr>
            <w:tcW w:w="957" w:type="dxa"/>
            <w:tcBorders>
              <w:top w:val="single" w:sz="4" w:space="0" w:color="auto"/>
            </w:tcBorders>
          </w:tcPr>
          <w:p w:rsidR="008800F7" w:rsidRPr="005332AB" w:rsidRDefault="008800F7" w:rsidP="008800F7">
            <w:pPr>
              <w:jc w:val="center"/>
              <w:rPr>
                <w:b/>
              </w:rPr>
            </w:pPr>
            <w:r w:rsidRPr="005332AB">
              <w:rPr>
                <w:b/>
              </w:rPr>
              <w:t>N</w:t>
            </w:r>
          </w:p>
        </w:tc>
        <w:tc>
          <w:tcPr>
            <w:tcW w:w="957" w:type="dxa"/>
            <w:tcBorders>
              <w:top w:val="single" w:sz="4" w:space="0" w:color="auto"/>
            </w:tcBorders>
          </w:tcPr>
          <w:p w:rsidR="008800F7" w:rsidRPr="005332AB" w:rsidRDefault="008800F7" w:rsidP="008800F7">
            <w:pPr>
              <w:jc w:val="center"/>
              <w:rPr>
                <w:b/>
              </w:rPr>
            </w:pPr>
            <w:r w:rsidRPr="005332AB">
              <w:rPr>
                <w:b/>
              </w:rPr>
              <w:t>%</w:t>
            </w:r>
          </w:p>
        </w:tc>
        <w:tc>
          <w:tcPr>
            <w:tcW w:w="957" w:type="dxa"/>
            <w:tcBorders>
              <w:top w:val="single" w:sz="4" w:space="0" w:color="auto"/>
            </w:tcBorders>
          </w:tcPr>
          <w:p w:rsidR="008800F7" w:rsidRPr="005332AB" w:rsidRDefault="008800F7" w:rsidP="008800F7">
            <w:pPr>
              <w:jc w:val="center"/>
              <w:rPr>
                <w:b/>
              </w:rPr>
            </w:pPr>
            <w:r w:rsidRPr="005332AB">
              <w:rPr>
                <w:b/>
              </w:rPr>
              <w:t>N</w:t>
            </w:r>
          </w:p>
        </w:tc>
        <w:tc>
          <w:tcPr>
            <w:tcW w:w="958" w:type="dxa"/>
            <w:tcBorders>
              <w:top w:val="single" w:sz="4" w:space="0" w:color="auto"/>
            </w:tcBorders>
          </w:tcPr>
          <w:p w:rsidR="008800F7" w:rsidRPr="005332AB" w:rsidRDefault="008800F7" w:rsidP="008800F7">
            <w:pPr>
              <w:jc w:val="center"/>
              <w:rPr>
                <w:b/>
              </w:rPr>
            </w:pPr>
            <w:r w:rsidRPr="005332AB">
              <w:rPr>
                <w:b/>
              </w:rPr>
              <w:t>%</w:t>
            </w:r>
          </w:p>
        </w:tc>
        <w:tc>
          <w:tcPr>
            <w:tcW w:w="958" w:type="dxa"/>
            <w:tcBorders>
              <w:top w:val="single" w:sz="4" w:space="0" w:color="auto"/>
            </w:tcBorders>
          </w:tcPr>
          <w:p w:rsidR="008800F7" w:rsidRPr="005332AB" w:rsidRDefault="008800F7" w:rsidP="008800F7">
            <w:pPr>
              <w:jc w:val="center"/>
              <w:rPr>
                <w:b/>
              </w:rPr>
            </w:pPr>
            <w:r w:rsidRPr="005332AB">
              <w:rPr>
                <w:b/>
              </w:rPr>
              <w:t>N</w:t>
            </w:r>
          </w:p>
        </w:tc>
        <w:tc>
          <w:tcPr>
            <w:tcW w:w="1024" w:type="dxa"/>
            <w:tcBorders>
              <w:top w:val="single" w:sz="4" w:space="0" w:color="auto"/>
            </w:tcBorders>
          </w:tcPr>
          <w:p w:rsidR="008800F7" w:rsidRPr="005332AB" w:rsidRDefault="008800F7" w:rsidP="008800F7">
            <w:pPr>
              <w:jc w:val="center"/>
              <w:rPr>
                <w:b/>
              </w:rPr>
            </w:pPr>
            <w:r w:rsidRPr="005332AB">
              <w:rPr>
                <w:b/>
              </w:rPr>
              <w:t>%</w:t>
            </w:r>
          </w:p>
        </w:tc>
        <w:tc>
          <w:tcPr>
            <w:tcW w:w="892" w:type="dxa"/>
            <w:tcBorders>
              <w:top w:val="single" w:sz="4" w:space="0" w:color="auto"/>
            </w:tcBorders>
          </w:tcPr>
          <w:p w:rsidR="008800F7" w:rsidRPr="005332AB" w:rsidRDefault="008800F7" w:rsidP="008800F7">
            <w:pPr>
              <w:jc w:val="center"/>
              <w:rPr>
                <w:b/>
              </w:rPr>
            </w:pPr>
            <w:r w:rsidRPr="005332AB">
              <w:rPr>
                <w:b/>
              </w:rPr>
              <w:t>N</w:t>
            </w:r>
          </w:p>
        </w:tc>
        <w:tc>
          <w:tcPr>
            <w:tcW w:w="958" w:type="dxa"/>
            <w:tcBorders>
              <w:top w:val="single" w:sz="4" w:space="0" w:color="auto"/>
            </w:tcBorders>
          </w:tcPr>
          <w:p w:rsidR="008800F7" w:rsidRPr="005332AB" w:rsidRDefault="008800F7" w:rsidP="008800F7">
            <w:pPr>
              <w:jc w:val="center"/>
              <w:rPr>
                <w:b/>
              </w:rPr>
            </w:pPr>
            <w:r w:rsidRPr="005332AB">
              <w:rPr>
                <w:b/>
              </w:rPr>
              <w:t>%</w:t>
            </w:r>
          </w:p>
        </w:tc>
        <w:tc>
          <w:tcPr>
            <w:tcW w:w="958" w:type="dxa"/>
            <w:tcBorders>
              <w:top w:val="single" w:sz="4" w:space="0" w:color="auto"/>
              <w:right w:val="single" w:sz="4" w:space="0" w:color="auto"/>
            </w:tcBorders>
          </w:tcPr>
          <w:p w:rsidR="008800F7" w:rsidRPr="005332AB" w:rsidRDefault="008800F7" w:rsidP="008800F7"/>
        </w:tc>
      </w:tr>
      <w:tr w:rsidR="005332AB" w:rsidRPr="005332AB" w:rsidTr="00BF0663">
        <w:tc>
          <w:tcPr>
            <w:tcW w:w="957" w:type="dxa"/>
            <w:tcBorders>
              <w:top w:val="single" w:sz="4" w:space="0" w:color="auto"/>
              <w:left w:val="single" w:sz="4" w:space="0" w:color="auto"/>
            </w:tcBorders>
          </w:tcPr>
          <w:p w:rsidR="005332AB" w:rsidRPr="005332AB" w:rsidRDefault="005332AB" w:rsidP="008800F7">
            <w:pPr>
              <w:jc w:val="center"/>
              <w:rPr>
                <w:b/>
              </w:rPr>
            </w:pPr>
            <w:r w:rsidRPr="005332AB">
              <w:rPr>
                <w:b/>
              </w:rPr>
              <w:t>1</w:t>
            </w:r>
          </w:p>
        </w:tc>
        <w:tc>
          <w:tcPr>
            <w:tcW w:w="957" w:type="dxa"/>
            <w:tcBorders>
              <w:top w:val="single" w:sz="4" w:space="0" w:color="auto"/>
            </w:tcBorders>
          </w:tcPr>
          <w:p w:rsidR="005332AB" w:rsidRPr="005332AB" w:rsidRDefault="005332AB" w:rsidP="005332AB">
            <w:pPr>
              <w:jc w:val="center"/>
            </w:pPr>
            <w:r w:rsidRPr="005332AB">
              <w:t>13</w:t>
            </w:r>
          </w:p>
        </w:tc>
        <w:tc>
          <w:tcPr>
            <w:tcW w:w="957" w:type="dxa"/>
            <w:tcBorders>
              <w:top w:val="single" w:sz="4" w:space="0" w:color="auto"/>
            </w:tcBorders>
          </w:tcPr>
          <w:p w:rsidR="005332AB" w:rsidRPr="005332AB" w:rsidRDefault="005332AB" w:rsidP="005332AB">
            <w:pPr>
              <w:jc w:val="center"/>
            </w:pPr>
            <w:r w:rsidRPr="005332AB">
              <w:t>50</w:t>
            </w:r>
          </w:p>
        </w:tc>
        <w:tc>
          <w:tcPr>
            <w:tcW w:w="957" w:type="dxa"/>
            <w:tcBorders>
              <w:top w:val="single" w:sz="4" w:space="0" w:color="auto"/>
            </w:tcBorders>
          </w:tcPr>
          <w:p w:rsidR="005332AB" w:rsidRPr="005332AB" w:rsidRDefault="005332AB" w:rsidP="005D0EC1">
            <w:pPr>
              <w:jc w:val="center"/>
            </w:pPr>
            <w:r w:rsidRPr="005332AB">
              <w:t>10</w:t>
            </w:r>
          </w:p>
        </w:tc>
        <w:tc>
          <w:tcPr>
            <w:tcW w:w="958" w:type="dxa"/>
            <w:tcBorders>
              <w:top w:val="single" w:sz="4" w:space="0" w:color="auto"/>
            </w:tcBorders>
          </w:tcPr>
          <w:p w:rsidR="005332AB" w:rsidRPr="005332AB" w:rsidRDefault="005332AB" w:rsidP="005D0EC1">
            <w:pPr>
              <w:jc w:val="center"/>
            </w:pPr>
            <w:r w:rsidRPr="005332AB">
              <w:t>38</w:t>
            </w:r>
          </w:p>
        </w:tc>
        <w:tc>
          <w:tcPr>
            <w:tcW w:w="958" w:type="dxa"/>
            <w:tcBorders>
              <w:top w:val="single" w:sz="4" w:space="0" w:color="auto"/>
            </w:tcBorders>
          </w:tcPr>
          <w:p w:rsidR="005332AB" w:rsidRPr="005332AB" w:rsidRDefault="005332AB" w:rsidP="005D0EC1">
            <w:pPr>
              <w:jc w:val="center"/>
            </w:pPr>
            <w:r w:rsidRPr="005332AB">
              <w:t>3</w:t>
            </w:r>
          </w:p>
        </w:tc>
        <w:tc>
          <w:tcPr>
            <w:tcW w:w="1024" w:type="dxa"/>
            <w:tcBorders>
              <w:top w:val="single" w:sz="4" w:space="0" w:color="auto"/>
            </w:tcBorders>
          </w:tcPr>
          <w:p w:rsidR="005332AB" w:rsidRPr="005332AB" w:rsidRDefault="005332AB" w:rsidP="005D0EC1">
            <w:pPr>
              <w:jc w:val="center"/>
            </w:pPr>
            <w:r w:rsidRPr="005332AB">
              <w:t>12</w:t>
            </w:r>
          </w:p>
        </w:tc>
        <w:tc>
          <w:tcPr>
            <w:tcW w:w="892" w:type="dxa"/>
            <w:tcBorders>
              <w:top w:val="single" w:sz="4" w:space="0" w:color="auto"/>
            </w:tcBorders>
          </w:tcPr>
          <w:p w:rsidR="005332AB" w:rsidRPr="005332AB" w:rsidRDefault="005332AB" w:rsidP="005D0EC1">
            <w:pPr>
              <w:jc w:val="center"/>
            </w:pPr>
            <w:r w:rsidRPr="005332AB">
              <w:t>26</w:t>
            </w:r>
          </w:p>
        </w:tc>
        <w:tc>
          <w:tcPr>
            <w:tcW w:w="958" w:type="dxa"/>
            <w:tcBorders>
              <w:top w:val="single" w:sz="4" w:space="0" w:color="auto"/>
            </w:tcBorders>
          </w:tcPr>
          <w:p w:rsidR="005332AB" w:rsidRPr="005332AB" w:rsidRDefault="005332AB" w:rsidP="000A5997">
            <w:pPr>
              <w:jc w:val="center"/>
            </w:pPr>
            <w:r w:rsidRPr="005332AB">
              <w:t>100</w:t>
            </w:r>
          </w:p>
        </w:tc>
        <w:tc>
          <w:tcPr>
            <w:tcW w:w="958" w:type="dxa"/>
            <w:tcBorders>
              <w:top w:val="single" w:sz="4" w:space="0" w:color="auto"/>
              <w:right w:val="single" w:sz="4" w:space="0" w:color="auto"/>
            </w:tcBorders>
          </w:tcPr>
          <w:p w:rsidR="005332AB" w:rsidRPr="005332AB" w:rsidRDefault="005332AB" w:rsidP="008800F7">
            <w:pPr>
              <w:jc w:val="center"/>
            </w:pPr>
            <w:r w:rsidRPr="005332AB">
              <w:t>0</w:t>
            </w:r>
          </w:p>
        </w:tc>
      </w:tr>
      <w:tr w:rsidR="005332AB" w:rsidRPr="005332AB" w:rsidTr="00BF0663">
        <w:tc>
          <w:tcPr>
            <w:tcW w:w="957" w:type="dxa"/>
            <w:tcBorders>
              <w:top w:val="single" w:sz="4" w:space="0" w:color="auto"/>
              <w:left w:val="single" w:sz="4" w:space="0" w:color="auto"/>
            </w:tcBorders>
          </w:tcPr>
          <w:p w:rsidR="005332AB" w:rsidRPr="005332AB" w:rsidRDefault="005332AB" w:rsidP="008800F7">
            <w:pPr>
              <w:jc w:val="center"/>
              <w:rPr>
                <w:b/>
              </w:rPr>
            </w:pPr>
            <w:r w:rsidRPr="005332AB">
              <w:rPr>
                <w:b/>
              </w:rPr>
              <w:t>2</w:t>
            </w:r>
          </w:p>
        </w:tc>
        <w:tc>
          <w:tcPr>
            <w:tcW w:w="957" w:type="dxa"/>
            <w:tcBorders>
              <w:top w:val="single" w:sz="4" w:space="0" w:color="auto"/>
            </w:tcBorders>
          </w:tcPr>
          <w:p w:rsidR="005332AB" w:rsidRPr="005332AB" w:rsidRDefault="005332AB" w:rsidP="005332AB">
            <w:pPr>
              <w:jc w:val="center"/>
            </w:pPr>
            <w:r w:rsidRPr="005332AB">
              <w:t xml:space="preserve">  8</w:t>
            </w:r>
          </w:p>
        </w:tc>
        <w:tc>
          <w:tcPr>
            <w:tcW w:w="957" w:type="dxa"/>
            <w:tcBorders>
              <w:top w:val="single" w:sz="4" w:space="0" w:color="auto"/>
            </w:tcBorders>
          </w:tcPr>
          <w:p w:rsidR="005332AB" w:rsidRPr="005332AB" w:rsidRDefault="005332AB" w:rsidP="005332AB">
            <w:pPr>
              <w:jc w:val="center"/>
            </w:pPr>
            <w:r w:rsidRPr="005332AB">
              <w:t>31</w:t>
            </w:r>
          </w:p>
        </w:tc>
        <w:tc>
          <w:tcPr>
            <w:tcW w:w="957" w:type="dxa"/>
            <w:tcBorders>
              <w:top w:val="single" w:sz="4" w:space="0" w:color="auto"/>
            </w:tcBorders>
          </w:tcPr>
          <w:p w:rsidR="005332AB" w:rsidRPr="005332AB" w:rsidRDefault="005332AB" w:rsidP="005D0EC1">
            <w:pPr>
              <w:jc w:val="center"/>
            </w:pPr>
            <w:r w:rsidRPr="005332AB">
              <w:t>17</w:t>
            </w:r>
          </w:p>
        </w:tc>
        <w:tc>
          <w:tcPr>
            <w:tcW w:w="958" w:type="dxa"/>
            <w:tcBorders>
              <w:top w:val="single" w:sz="4" w:space="0" w:color="auto"/>
            </w:tcBorders>
          </w:tcPr>
          <w:p w:rsidR="005332AB" w:rsidRPr="005332AB" w:rsidRDefault="005332AB" w:rsidP="005D0EC1">
            <w:pPr>
              <w:jc w:val="center"/>
            </w:pPr>
            <w:r w:rsidRPr="005332AB">
              <w:t>65</w:t>
            </w:r>
          </w:p>
        </w:tc>
        <w:tc>
          <w:tcPr>
            <w:tcW w:w="958" w:type="dxa"/>
            <w:tcBorders>
              <w:top w:val="single" w:sz="4" w:space="0" w:color="auto"/>
            </w:tcBorders>
          </w:tcPr>
          <w:p w:rsidR="005332AB" w:rsidRPr="005332AB" w:rsidRDefault="005332AB" w:rsidP="005D0EC1">
            <w:pPr>
              <w:jc w:val="center"/>
            </w:pPr>
            <w:r w:rsidRPr="005332AB">
              <w:t>1</w:t>
            </w:r>
          </w:p>
        </w:tc>
        <w:tc>
          <w:tcPr>
            <w:tcW w:w="1024" w:type="dxa"/>
            <w:tcBorders>
              <w:top w:val="single" w:sz="4" w:space="0" w:color="auto"/>
            </w:tcBorders>
          </w:tcPr>
          <w:p w:rsidR="005332AB" w:rsidRPr="005332AB" w:rsidRDefault="005332AB" w:rsidP="005D0EC1">
            <w:pPr>
              <w:jc w:val="center"/>
            </w:pPr>
            <w:r w:rsidRPr="005332AB">
              <w:t xml:space="preserve">  4</w:t>
            </w:r>
          </w:p>
        </w:tc>
        <w:tc>
          <w:tcPr>
            <w:tcW w:w="892" w:type="dxa"/>
            <w:tcBorders>
              <w:top w:val="single" w:sz="4" w:space="0" w:color="auto"/>
            </w:tcBorders>
          </w:tcPr>
          <w:p w:rsidR="005332AB" w:rsidRPr="005332AB" w:rsidRDefault="005332AB" w:rsidP="005D0EC1">
            <w:pPr>
              <w:jc w:val="center"/>
            </w:pPr>
            <w:r w:rsidRPr="005332AB">
              <w:t>26</w:t>
            </w:r>
          </w:p>
        </w:tc>
        <w:tc>
          <w:tcPr>
            <w:tcW w:w="958" w:type="dxa"/>
            <w:tcBorders>
              <w:top w:val="single" w:sz="4" w:space="0" w:color="auto"/>
            </w:tcBorders>
          </w:tcPr>
          <w:p w:rsidR="005332AB" w:rsidRPr="005332AB" w:rsidRDefault="005332AB" w:rsidP="008800F7">
            <w:pPr>
              <w:jc w:val="center"/>
            </w:pPr>
            <w:r w:rsidRPr="005332AB">
              <w:t>100</w:t>
            </w:r>
          </w:p>
        </w:tc>
        <w:tc>
          <w:tcPr>
            <w:tcW w:w="958" w:type="dxa"/>
            <w:tcBorders>
              <w:top w:val="single" w:sz="4" w:space="0" w:color="auto"/>
              <w:right w:val="single" w:sz="4" w:space="0" w:color="auto"/>
            </w:tcBorders>
          </w:tcPr>
          <w:p w:rsidR="005332AB" w:rsidRPr="005332AB" w:rsidRDefault="005332AB" w:rsidP="008800F7">
            <w:pPr>
              <w:jc w:val="center"/>
            </w:pPr>
            <w:r w:rsidRPr="005332AB">
              <w:t>0</w:t>
            </w:r>
          </w:p>
        </w:tc>
      </w:tr>
      <w:tr w:rsidR="005332AB" w:rsidRPr="005332AB" w:rsidTr="00BF0663">
        <w:tc>
          <w:tcPr>
            <w:tcW w:w="957" w:type="dxa"/>
            <w:tcBorders>
              <w:top w:val="single" w:sz="4" w:space="0" w:color="auto"/>
              <w:left w:val="single" w:sz="4" w:space="0" w:color="auto"/>
            </w:tcBorders>
          </w:tcPr>
          <w:p w:rsidR="005332AB" w:rsidRPr="005332AB" w:rsidRDefault="005332AB" w:rsidP="008800F7">
            <w:pPr>
              <w:jc w:val="center"/>
              <w:rPr>
                <w:b/>
              </w:rPr>
            </w:pPr>
            <w:r w:rsidRPr="005332AB">
              <w:rPr>
                <w:b/>
              </w:rPr>
              <w:t>3</w:t>
            </w:r>
          </w:p>
        </w:tc>
        <w:tc>
          <w:tcPr>
            <w:tcW w:w="957" w:type="dxa"/>
            <w:tcBorders>
              <w:top w:val="single" w:sz="4" w:space="0" w:color="auto"/>
            </w:tcBorders>
          </w:tcPr>
          <w:p w:rsidR="005332AB" w:rsidRPr="005332AB" w:rsidRDefault="005332AB" w:rsidP="005332AB">
            <w:pPr>
              <w:jc w:val="center"/>
            </w:pPr>
            <w:r w:rsidRPr="005332AB">
              <w:t>10</w:t>
            </w:r>
          </w:p>
        </w:tc>
        <w:tc>
          <w:tcPr>
            <w:tcW w:w="957" w:type="dxa"/>
            <w:tcBorders>
              <w:top w:val="single" w:sz="4" w:space="0" w:color="auto"/>
            </w:tcBorders>
          </w:tcPr>
          <w:p w:rsidR="005332AB" w:rsidRPr="005332AB" w:rsidRDefault="005332AB" w:rsidP="005332AB">
            <w:pPr>
              <w:jc w:val="center"/>
            </w:pPr>
            <w:r w:rsidRPr="005332AB">
              <w:t>38</w:t>
            </w:r>
          </w:p>
        </w:tc>
        <w:tc>
          <w:tcPr>
            <w:tcW w:w="957" w:type="dxa"/>
            <w:tcBorders>
              <w:top w:val="single" w:sz="4" w:space="0" w:color="auto"/>
            </w:tcBorders>
          </w:tcPr>
          <w:p w:rsidR="005332AB" w:rsidRPr="005332AB" w:rsidRDefault="005332AB" w:rsidP="005D0EC1">
            <w:pPr>
              <w:jc w:val="center"/>
            </w:pPr>
            <w:r w:rsidRPr="005332AB">
              <w:t>15</w:t>
            </w:r>
          </w:p>
        </w:tc>
        <w:tc>
          <w:tcPr>
            <w:tcW w:w="958" w:type="dxa"/>
            <w:tcBorders>
              <w:top w:val="single" w:sz="4" w:space="0" w:color="auto"/>
            </w:tcBorders>
          </w:tcPr>
          <w:p w:rsidR="005332AB" w:rsidRPr="005332AB" w:rsidRDefault="005332AB" w:rsidP="005D0EC1">
            <w:pPr>
              <w:jc w:val="center"/>
            </w:pPr>
            <w:r w:rsidRPr="005332AB">
              <w:t>58</w:t>
            </w:r>
          </w:p>
        </w:tc>
        <w:tc>
          <w:tcPr>
            <w:tcW w:w="958" w:type="dxa"/>
            <w:tcBorders>
              <w:top w:val="single" w:sz="4" w:space="0" w:color="auto"/>
            </w:tcBorders>
          </w:tcPr>
          <w:p w:rsidR="005332AB" w:rsidRPr="005332AB" w:rsidRDefault="005332AB" w:rsidP="005D0EC1">
            <w:pPr>
              <w:jc w:val="center"/>
            </w:pPr>
            <w:r w:rsidRPr="005332AB">
              <w:t>1</w:t>
            </w:r>
          </w:p>
        </w:tc>
        <w:tc>
          <w:tcPr>
            <w:tcW w:w="1024" w:type="dxa"/>
            <w:tcBorders>
              <w:top w:val="single" w:sz="4" w:space="0" w:color="auto"/>
            </w:tcBorders>
          </w:tcPr>
          <w:p w:rsidR="005332AB" w:rsidRPr="005332AB" w:rsidRDefault="005332AB" w:rsidP="005D0EC1">
            <w:pPr>
              <w:jc w:val="center"/>
            </w:pPr>
            <w:r w:rsidRPr="005332AB">
              <w:t xml:space="preserve">  4</w:t>
            </w:r>
          </w:p>
        </w:tc>
        <w:tc>
          <w:tcPr>
            <w:tcW w:w="892" w:type="dxa"/>
            <w:tcBorders>
              <w:top w:val="single" w:sz="4" w:space="0" w:color="auto"/>
            </w:tcBorders>
          </w:tcPr>
          <w:p w:rsidR="005332AB" w:rsidRPr="005332AB" w:rsidRDefault="005332AB" w:rsidP="005D0EC1">
            <w:pPr>
              <w:jc w:val="center"/>
            </w:pPr>
            <w:r w:rsidRPr="005332AB">
              <w:t>26</w:t>
            </w:r>
          </w:p>
        </w:tc>
        <w:tc>
          <w:tcPr>
            <w:tcW w:w="958" w:type="dxa"/>
            <w:tcBorders>
              <w:top w:val="single" w:sz="4" w:space="0" w:color="auto"/>
            </w:tcBorders>
          </w:tcPr>
          <w:p w:rsidR="005332AB" w:rsidRPr="005332AB" w:rsidRDefault="005332AB" w:rsidP="008800F7">
            <w:pPr>
              <w:jc w:val="center"/>
            </w:pPr>
            <w:r w:rsidRPr="005332AB">
              <w:t>100</w:t>
            </w:r>
          </w:p>
        </w:tc>
        <w:tc>
          <w:tcPr>
            <w:tcW w:w="958" w:type="dxa"/>
            <w:tcBorders>
              <w:top w:val="single" w:sz="4" w:space="0" w:color="auto"/>
              <w:right w:val="single" w:sz="4" w:space="0" w:color="auto"/>
            </w:tcBorders>
          </w:tcPr>
          <w:p w:rsidR="005332AB" w:rsidRPr="005332AB" w:rsidRDefault="005332AB" w:rsidP="008800F7">
            <w:pPr>
              <w:jc w:val="center"/>
            </w:pPr>
            <w:r w:rsidRPr="005332AB">
              <w:t>0</w:t>
            </w:r>
          </w:p>
        </w:tc>
      </w:tr>
      <w:tr w:rsidR="005332AB" w:rsidRPr="005332AB" w:rsidTr="00BF0663">
        <w:tc>
          <w:tcPr>
            <w:tcW w:w="957" w:type="dxa"/>
            <w:tcBorders>
              <w:top w:val="single" w:sz="4" w:space="0" w:color="auto"/>
              <w:left w:val="single" w:sz="4" w:space="0" w:color="auto"/>
            </w:tcBorders>
          </w:tcPr>
          <w:p w:rsidR="005332AB" w:rsidRPr="005332AB" w:rsidRDefault="005332AB" w:rsidP="008800F7">
            <w:pPr>
              <w:jc w:val="center"/>
              <w:rPr>
                <w:b/>
              </w:rPr>
            </w:pPr>
            <w:r w:rsidRPr="005332AB">
              <w:rPr>
                <w:b/>
              </w:rPr>
              <w:t>4</w:t>
            </w:r>
          </w:p>
        </w:tc>
        <w:tc>
          <w:tcPr>
            <w:tcW w:w="957" w:type="dxa"/>
            <w:tcBorders>
              <w:top w:val="single" w:sz="4" w:space="0" w:color="auto"/>
            </w:tcBorders>
          </w:tcPr>
          <w:p w:rsidR="005332AB" w:rsidRPr="005332AB" w:rsidRDefault="005332AB" w:rsidP="005332AB">
            <w:pPr>
              <w:jc w:val="center"/>
            </w:pPr>
            <w:r w:rsidRPr="005332AB">
              <w:t>11</w:t>
            </w:r>
          </w:p>
        </w:tc>
        <w:tc>
          <w:tcPr>
            <w:tcW w:w="957" w:type="dxa"/>
            <w:tcBorders>
              <w:top w:val="single" w:sz="4" w:space="0" w:color="auto"/>
            </w:tcBorders>
          </w:tcPr>
          <w:p w:rsidR="005332AB" w:rsidRPr="005332AB" w:rsidRDefault="005332AB" w:rsidP="005332AB">
            <w:pPr>
              <w:jc w:val="center"/>
            </w:pPr>
            <w:r w:rsidRPr="005332AB">
              <w:t>42</w:t>
            </w:r>
          </w:p>
        </w:tc>
        <w:tc>
          <w:tcPr>
            <w:tcW w:w="957" w:type="dxa"/>
            <w:tcBorders>
              <w:top w:val="single" w:sz="4" w:space="0" w:color="auto"/>
            </w:tcBorders>
          </w:tcPr>
          <w:p w:rsidR="005332AB" w:rsidRPr="005332AB" w:rsidRDefault="005332AB" w:rsidP="005D0EC1">
            <w:pPr>
              <w:jc w:val="center"/>
            </w:pPr>
            <w:r w:rsidRPr="005332AB">
              <w:t>12</w:t>
            </w:r>
          </w:p>
        </w:tc>
        <w:tc>
          <w:tcPr>
            <w:tcW w:w="958" w:type="dxa"/>
            <w:tcBorders>
              <w:top w:val="single" w:sz="4" w:space="0" w:color="auto"/>
            </w:tcBorders>
          </w:tcPr>
          <w:p w:rsidR="005332AB" w:rsidRPr="005332AB" w:rsidRDefault="005332AB" w:rsidP="005D0EC1">
            <w:pPr>
              <w:jc w:val="center"/>
            </w:pPr>
            <w:r w:rsidRPr="005332AB">
              <w:t>46</w:t>
            </w:r>
          </w:p>
        </w:tc>
        <w:tc>
          <w:tcPr>
            <w:tcW w:w="958" w:type="dxa"/>
            <w:tcBorders>
              <w:top w:val="single" w:sz="4" w:space="0" w:color="auto"/>
            </w:tcBorders>
          </w:tcPr>
          <w:p w:rsidR="005332AB" w:rsidRPr="005332AB" w:rsidRDefault="005332AB" w:rsidP="005D0EC1">
            <w:pPr>
              <w:jc w:val="center"/>
            </w:pPr>
            <w:r w:rsidRPr="005332AB">
              <w:t>3</w:t>
            </w:r>
          </w:p>
        </w:tc>
        <w:tc>
          <w:tcPr>
            <w:tcW w:w="1024" w:type="dxa"/>
            <w:tcBorders>
              <w:top w:val="single" w:sz="4" w:space="0" w:color="auto"/>
            </w:tcBorders>
          </w:tcPr>
          <w:p w:rsidR="005332AB" w:rsidRPr="005332AB" w:rsidRDefault="005332AB" w:rsidP="005D0EC1">
            <w:pPr>
              <w:jc w:val="center"/>
            </w:pPr>
            <w:r w:rsidRPr="005332AB">
              <w:t>12</w:t>
            </w:r>
          </w:p>
        </w:tc>
        <w:tc>
          <w:tcPr>
            <w:tcW w:w="892" w:type="dxa"/>
            <w:tcBorders>
              <w:top w:val="single" w:sz="4" w:space="0" w:color="auto"/>
            </w:tcBorders>
          </w:tcPr>
          <w:p w:rsidR="005332AB" w:rsidRPr="005332AB" w:rsidRDefault="005332AB" w:rsidP="005D0EC1">
            <w:pPr>
              <w:jc w:val="center"/>
            </w:pPr>
            <w:r w:rsidRPr="005332AB">
              <w:t>26</w:t>
            </w:r>
          </w:p>
        </w:tc>
        <w:tc>
          <w:tcPr>
            <w:tcW w:w="958" w:type="dxa"/>
            <w:tcBorders>
              <w:top w:val="single" w:sz="4" w:space="0" w:color="auto"/>
            </w:tcBorders>
          </w:tcPr>
          <w:p w:rsidR="005332AB" w:rsidRPr="005332AB" w:rsidRDefault="005332AB" w:rsidP="008800F7">
            <w:pPr>
              <w:jc w:val="center"/>
            </w:pPr>
            <w:r w:rsidRPr="005332AB">
              <w:t>100</w:t>
            </w:r>
          </w:p>
        </w:tc>
        <w:tc>
          <w:tcPr>
            <w:tcW w:w="958" w:type="dxa"/>
            <w:tcBorders>
              <w:top w:val="single" w:sz="4" w:space="0" w:color="auto"/>
              <w:right w:val="single" w:sz="4" w:space="0" w:color="auto"/>
            </w:tcBorders>
          </w:tcPr>
          <w:p w:rsidR="005332AB" w:rsidRPr="005332AB" w:rsidRDefault="005332AB" w:rsidP="008800F7">
            <w:pPr>
              <w:jc w:val="center"/>
            </w:pPr>
            <w:r w:rsidRPr="005332AB">
              <w:t>0</w:t>
            </w:r>
          </w:p>
        </w:tc>
      </w:tr>
    </w:tbl>
    <w:p w:rsidR="008800F7" w:rsidRPr="005332AB" w:rsidRDefault="008800F7" w:rsidP="008800F7">
      <w:pPr>
        <w:rPr>
          <w:b/>
          <w:u w:val="single"/>
        </w:rPr>
      </w:pPr>
    </w:p>
    <w:p w:rsidR="00671585" w:rsidRDefault="00671585" w:rsidP="00C82025">
      <w:pPr>
        <w:rPr>
          <w:b/>
          <w:u w:val="single"/>
        </w:rPr>
      </w:pPr>
    </w:p>
    <w:p w:rsidR="00D14B17" w:rsidRPr="00D14B17" w:rsidRDefault="00D14B17" w:rsidP="00C2247B">
      <w:pPr>
        <w:jc w:val="center"/>
        <w:rPr>
          <w:b/>
          <w:sz w:val="28"/>
          <w:szCs w:val="28"/>
        </w:rPr>
      </w:pPr>
      <w:r w:rsidRPr="00D14B17">
        <w:rPr>
          <w:b/>
          <w:sz w:val="28"/>
          <w:szCs w:val="28"/>
        </w:rPr>
        <w:t>Results</w:t>
      </w:r>
      <w:r w:rsidR="00C2247B">
        <w:rPr>
          <w:b/>
          <w:sz w:val="28"/>
          <w:szCs w:val="28"/>
        </w:rPr>
        <w:t xml:space="preserve"> for Written Communication Skills – 200 </w:t>
      </w:r>
      <w:proofErr w:type="gramStart"/>
      <w:r w:rsidR="00C2247B">
        <w:rPr>
          <w:b/>
          <w:sz w:val="28"/>
          <w:szCs w:val="28"/>
        </w:rPr>
        <w:t>Level</w:t>
      </w:r>
      <w:proofErr w:type="gramEnd"/>
    </w:p>
    <w:p w:rsidR="00D14B17" w:rsidRDefault="00D14B17" w:rsidP="004C0F09"/>
    <w:p w:rsidR="00671585" w:rsidRPr="00671585" w:rsidRDefault="00671585" w:rsidP="004C0F09">
      <w:pPr>
        <w:rPr>
          <w:b/>
          <w:u w:val="single"/>
        </w:rPr>
      </w:pPr>
      <w:r w:rsidRPr="00671585">
        <w:rPr>
          <w:b/>
          <w:u w:val="single"/>
        </w:rPr>
        <w:t>Ratings</w:t>
      </w:r>
    </w:p>
    <w:p w:rsidR="00671585" w:rsidRDefault="00671585" w:rsidP="004C0F09"/>
    <w:p w:rsidR="00671585" w:rsidRDefault="0061500F" w:rsidP="004C0F09">
      <w:r>
        <w:t xml:space="preserve">The majority </w:t>
      </w:r>
      <w:r w:rsidRPr="0061500F">
        <w:t xml:space="preserve">of the outcomes </w:t>
      </w:r>
      <w:r>
        <w:t>for ENGL 211</w:t>
      </w:r>
      <w:r w:rsidR="00FB3D63">
        <w:t>C</w:t>
      </w:r>
      <w:r>
        <w:t xml:space="preserve"> /221</w:t>
      </w:r>
      <w:r w:rsidR="00FB3D63">
        <w:t>C</w:t>
      </w:r>
      <w:r>
        <w:t xml:space="preserve"> /231</w:t>
      </w:r>
      <w:r w:rsidR="00FB3D63">
        <w:t>C</w:t>
      </w:r>
      <w:r>
        <w:t xml:space="preserve"> </w:t>
      </w:r>
      <w:r w:rsidR="004056A2">
        <w:t>were rated as “Exceeds</w:t>
      </w:r>
      <w:r w:rsidRPr="0061500F">
        <w:t xml:space="preserve"> Standard” or “Meets Standard”</w:t>
      </w:r>
      <w:r>
        <w:t xml:space="preserve"> as seen in the tables below. There were some differences between the three courses so those results are also presented separately.</w:t>
      </w:r>
      <w:r w:rsidR="00D36D52">
        <w:t xml:space="preserve"> For example, there were more “Approaches Standard” ratings </w:t>
      </w:r>
      <w:r w:rsidR="004056A2">
        <w:t xml:space="preserve">for SLO </w:t>
      </w:r>
      <w:r w:rsidR="00D36D52">
        <w:t>in ENGL 231C than the other two courses.</w:t>
      </w:r>
    </w:p>
    <w:p w:rsidR="0061500F" w:rsidRDefault="0061500F" w:rsidP="004C0F09"/>
    <w:p w:rsidR="00FA084A" w:rsidRDefault="00FA084A" w:rsidP="004C0F09"/>
    <w:p w:rsidR="0061500F" w:rsidRPr="0061500F" w:rsidRDefault="0061500F" w:rsidP="0061500F">
      <w:pPr>
        <w:jc w:val="center"/>
        <w:rPr>
          <w:b/>
        </w:rPr>
      </w:pPr>
      <w:r>
        <w:rPr>
          <w:b/>
        </w:rPr>
        <w:t>ENGL 211</w:t>
      </w:r>
      <w:r w:rsidR="00FB3D63">
        <w:rPr>
          <w:b/>
        </w:rPr>
        <w:t>C</w:t>
      </w:r>
      <w:r>
        <w:rPr>
          <w:b/>
        </w:rPr>
        <w:t xml:space="preserve"> / 221</w:t>
      </w:r>
      <w:r w:rsidR="00FB3D63">
        <w:rPr>
          <w:b/>
        </w:rPr>
        <w:t>C</w:t>
      </w:r>
      <w:r>
        <w:rPr>
          <w:b/>
        </w:rPr>
        <w:t xml:space="preserve"> / 231</w:t>
      </w:r>
      <w:r w:rsidR="00FB3D63">
        <w:rPr>
          <w:b/>
        </w:rPr>
        <w:t>C</w:t>
      </w:r>
      <w:r>
        <w:rPr>
          <w:b/>
        </w:rPr>
        <w:t xml:space="preserve"> (</w:t>
      </w:r>
      <w:r w:rsidRPr="0061500F">
        <w:rPr>
          <w:b/>
        </w:rPr>
        <w:t xml:space="preserve">30 </w:t>
      </w:r>
      <w:r>
        <w:rPr>
          <w:b/>
        </w:rPr>
        <w:t>P</w:t>
      </w:r>
      <w:r w:rsidRPr="0061500F">
        <w:rPr>
          <w:b/>
        </w:rPr>
        <w:t>apers</w:t>
      </w:r>
      <w:r>
        <w:rPr>
          <w:b/>
        </w:rPr>
        <w:t>)</w:t>
      </w:r>
    </w:p>
    <w:p w:rsidR="0061500F" w:rsidRDefault="0061500F" w:rsidP="004C0F09">
      <w:pPr>
        <w:rPr>
          <w:noProof/>
        </w:rPr>
      </w:pPr>
    </w:p>
    <w:tbl>
      <w:tblPr>
        <w:tblStyle w:val="TableGrid"/>
        <w:tblW w:w="0" w:type="auto"/>
        <w:tblLook w:val="04A0" w:firstRow="1" w:lastRow="0" w:firstColumn="1" w:lastColumn="0" w:noHBand="0" w:noVBand="1"/>
      </w:tblPr>
      <w:tblGrid>
        <w:gridCol w:w="4698"/>
        <w:gridCol w:w="1170"/>
        <w:gridCol w:w="1157"/>
        <w:gridCol w:w="1363"/>
        <w:gridCol w:w="1188"/>
      </w:tblGrid>
      <w:tr w:rsidR="006323FC" w:rsidTr="006323FC">
        <w:tc>
          <w:tcPr>
            <w:tcW w:w="4698" w:type="dxa"/>
          </w:tcPr>
          <w:p w:rsidR="0061500F" w:rsidRPr="0061500F" w:rsidRDefault="0061500F">
            <w:pPr>
              <w:rPr>
                <w:rFonts w:ascii="Arial" w:hAnsi="Arial" w:cs="Arial"/>
              </w:rPr>
            </w:pPr>
          </w:p>
        </w:tc>
        <w:tc>
          <w:tcPr>
            <w:tcW w:w="1170" w:type="dxa"/>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Exceeds Standard</w:t>
            </w:r>
          </w:p>
        </w:tc>
        <w:tc>
          <w:tcPr>
            <w:tcW w:w="1157" w:type="dxa"/>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Meets</w:t>
            </w:r>
          </w:p>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Standard</w:t>
            </w:r>
          </w:p>
        </w:tc>
        <w:tc>
          <w:tcPr>
            <w:tcW w:w="1363" w:type="dxa"/>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Approaches Standard</w:t>
            </w:r>
          </w:p>
        </w:tc>
        <w:tc>
          <w:tcPr>
            <w:tcW w:w="1188" w:type="dxa"/>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Needs Attention</w:t>
            </w:r>
          </w:p>
        </w:tc>
      </w:tr>
      <w:tr w:rsidR="006323FC" w:rsidTr="006323FC">
        <w:tc>
          <w:tcPr>
            <w:tcW w:w="4698" w:type="dxa"/>
            <w:vAlign w:val="center"/>
          </w:tcPr>
          <w:p w:rsidR="0061500F" w:rsidRPr="0061500F" w:rsidRDefault="0061500F">
            <w:pPr>
              <w:pStyle w:val="NormalWeb"/>
              <w:spacing w:before="0" w:beforeAutospacing="0" w:after="0" w:afterAutospacing="0"/>
              <w:ind w:left="274" w:hanging="274"/>
              <w:rPr>
                <w:rFonts w:ascii="Arial" w:hAnsi="Arial" w:cs="Arial"/>
              </w:rPr>
            </w:pPr>
            <w:r w:rsidRPr="0061500F">
              <w:rPr>
                <w:color w:val="000000" w:themeColor="text1"/>
                <w:kern w:val="3"/>
              </w:rPr>
              <w:t xml:space="preserve">1. </w:t>
            </w:r>
            <w:proofErr w:type="gramStart"/>
            <w:r w:rsidRPr="0061500F">
              <w:rPr>
                <w:color w:val="000000" w:themeColor="text1"/>
                <w:kern w:val="3"/>
              </w:rPr>
              <w:t>understand</w:t>
            </w:r>
            <w:proofErr w:type="gramEnd"/>
            <w:r w:rsidRPr="0061500F">
              <w:rPr>
                <w:color w:val="000000" w:themeColor="text1"/>
                <w:kern w:val="3"/>
              </w:rPr>
              <w:t xml:space="preserve"> how to incorporate research responsibly and effectively into an extended piece of writing.</w:t>
            </w:r>
          </w:p>
        </w:tc>
        <w:tc>
          <w:tcPr>
            <w:tcW w:w="1170"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 46%</w:t>
            </w:r>
          </w:p>
        </w:tc>
        <w:tc>
          <w:tcPr>
            <w:tcW w:w="1157"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23%</w:t>
            </w:r>
          </w:p>
        </w:tc>
        <w:tc>
          <w:tcPr>
            <w:tcW w:w="1363"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23% </w:t>
            </w:r>
          </w:p>
        </w:tc>
        <w:tc>
          <w:tcPr>
            <w:tcW w:w="1188"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7% </w:t>
            </w:r>
          </w:p>
        </w:tc>
      </w:tr>
      <w:tr w:rsidR="006323FC" w:rsidTr="006323FC">
        <w:tc>
          <w:tcPr>
            <w:tcW w:w="4698" w:type="dxa"/>
            <w:vAlign w:val="center"/>
          </w:tcPr>
          <w:p w:rsidR="0061500F" w:rsidRPr="0061500F" w:rsidRDefault="0061500F">
            <w:pPr>
              <w:pStyle w:val="NormalWeb"/>
              <w:spacing w:before="0" w:beforeAutospacing="0" w:after="0" w:afterAutospacing="0"/>
              <w:ind w:left="274" w:hanging="274"/>
              <w:rPr>
                <w:rFonts w:ascii="Arial" w:hAnsi="Arial" w:cs="Arial"/>
              </w:rPr>
            </w:pPr>
            <w:r w:rsidRPr="0061500F">
              <w:rPr>
                <w:color w:val="000000" w:themeColor="text1"/>
                <w:kern w:val="3"/>
              </w:rPr>
              <w:t xml:space="preserve">2. </w:t>
            </w:r>
            <w:proofErr w:type="gramStart"/>
            <w:r w:rsidRPr="0061500F">
              <w:rPr>
                <w:color w:val="000000" w:themeColor="text1"/>
                <w:kern w:val="3"/>
              </w:rPr>
              <w:t>recognize</w:t>
            </w:r>
            <w:proofErr w:type="gramEnd"/>
            <w:r w:rsidRPr="0061500F">
              <w:rPr>
                <w:color w:val="000000" w:themeColor="text1"/>
                <w:kern w:val="3"/>
              </w:rPr>
              <w:t xml:space="preserve"> the core principles of argumentation, including proper use of assumptions, claims, emotion, &amp; reason, as well as identification of logical fallacies, biases, &amp; propaganda.</w:t>
            </w:r>
          </w:p>
        </w:tc>
        <w:tc>
          <w:tcPr>
            <w:tcW w:w="1170"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 38%</w:t>
            </w:r>
          </w:p>
        </w:tc>
        <w:tc>
          <w:tcPr>
            <w:tcW w:w="1157"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36% </w:t>
            </w:r>
          </w:p>
        </w:tc>
        <w:tc>
          <w:tcPr>
            <w:tcW w:w="1363"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25% </w:t>
            </w:r>
          </w:p>
        </w:tc>
        <w:tc>
          <w:tcPr>
            <w:tcW w:w="1188"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2% </w:t>
            </w:r>
          </w:p>
        </w:tc>
      </w:tr>
      <w:tr w:rsidR="006323FC" w:rsidTr="006323FC">
        <w:tc>
          <w:tcPr>
            <w:tcW w:w="4698" w:type="dxa"/>
            <w:vAlign w:val="center"/>
          </w:tcPr>
          <w:p w:rsidR="0061500F" w:rsidRPr="0061500F" w:rsidRDefault="0061500F">
            <w:pPr>
              <w:pStyle w:val="NormalWeb"/>
              <w:spacing w:before="0" w:beforeAutospacing="0" w:after="0" w:afterAutospacing="0"/>
              <w:ind w:left="274" w:hanging="274"/>
              <w:rPr>
                <w:rFonts w:ascii="Arial" w:hAnsi="Arial" w:cs="Arial"/>
              </w:rPr>
            </w:pPr>
            <w:r w:rsidRPr="0061500F">
              <w:rPr>
                <w:color w:val="000000" w:themeColor="text1"/>
                <w:kern w:val="3"/>
              </w:rPr>
              <w:t xml:space="preserve">3. </w:t>
            </w:r>
            <w:proofErr w:type="gramStart"/>
            <w:r w:rsidRPr="0061500F">
              <w:rPr>
                <w:color w:val="000000" w:themeColor="text1"/>
                <w:kern w:val="3"/>
              </w:rPr>
              <w:t>develop</w:t>
            </w:r>
            <w:proofErr w:type="gramEnd"/>
            <w:r w:rsidRPr="0061500F">
              <w:rPr>
                <w:color w:val="000000" w:themeColor="text1"/>
                <w:kern w:val="3"/>
              </w:rPr>
              <w:t xml:space="preserve"> a repertoire of effective and ethical rhetorical tools for academic and professional writing tasks.</w:t>
            </w:r>
          </w:p>
        </w:tc>
        <w:tc>
          <w:tcPr>
            <w:tcW w:w="1170"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 39%</w:t>
            </w:r>
          </w:p>
        </w:tc>
        <w:tc>
          <w:tcPr>
            <w:tcW w:w="1157"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34%</w:t>
            </w:r>
            <w:r w:rsidRPr="0061500F">
              <w:rPr>
                <w:color w:val="000000" w:themeColor="text1"/>
                <w:kern w:val="3"/>
                <w:lang w:val="ru-RU"/>
              </w:rPr>
              <w:t> </w:t>
            </w:r>
          </w:p>
        </w:tc>
        <w:tc>
          <w:tcPr>
            <w:tcW w:w="1363"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20%</w:t>
            </w:r>
            <w:r w:rsidRPr="0061500F">
              <w:rPr>
                <w:color w:val="000000" w:themeColor="text1"/>
                <w:kern w:val="3"/>
                <w:lang w:val="ru-RU"/>
              </w:rPr>
              <w:t> </w:t>
            </w:r>
          </w:p>
        </w:tc>
        <w:tc>
          <w:tcPr>
            <w:tcW w:w="1188"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7% </w:t>
            </w:r>
          </w:p>
        </w:tc>
      </w:tr>
      <w:tr w:rsidR="006323FC" w:rsidTr="006323FC">
        <w:tc>
          <w:tcPr>
            <w:tcW w:w="4698" w:type="dxa"/>
            <w:vAlign w:val="center"/>
          </w:tcPr>
          <w:p w:rsidR="0061500F" w:rsidRPr="0061500F" w:rsidRDefault="0061500F">
            <w:pPr>
              <w:pStyle w:val="NormalWeb"/>
              <w:spacing w:before="0" w:beforeAutospacing="0" w:after="0" w:afterAutospacing="0"/>
              <w:ind w:left="274" w:hanging="274"/>
              <w:rPr>
                <w:rFonts w:ascii="Arial" w:hAnsi="Arial" w:cs="Arial"/>
              </w:rPr>
            </w:pPr>
            <w:r w:rsidRPr="0061500F">
              <w:rPr>
                <w:color w:val="000000" w:themeColor="text1"/>
                <w:kern w:val="3"/>
              </w:rPr>
              <w:t xml:space="preserve">4. </w:t>
            </w:r>
            <w:proofErr w:type="gramStart"/>
            <w:r w:rsidRPr="0061500F">
              <w:rPr>
                <w:color w:val="000000" w:themeColor="text1"/>
                <w:kern w:val="3"/>
              </w:rPr>
              <w:t>read</w:t>
            </w:r>
            <w:proofErr w:type="gramEnd"/>
            <w:r w:rsidRPr="0061500F">
              <w:rPr>
                <w:color w:val="000000" w:themeColor="text1"/>
                <w:kern w:val="3"/>
              </w:rPr>
              <w:t xml:space="preserve"> popular, academic, &amp; professional nonfiction writing analytically and critically.</w:t>
            </w:r>
          </w:p>
        </w:tc>
        <w:tc>
          <w:tcPr>
            <w:tcW w:w="1170"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 45%</w:t>
            </w:r>
          </w:p>
        </w:tc>
        <w:tc>
          <w:tcPr>
            <w:tcW w:w="1157"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32% </w:t>
            </w:r>
          </w:p>
        </w:tc>
        <w:tc>
          <w:tcPr>
            <w:tcW w:w="1363"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14% </w:t>
            </w:r>
          </w:p>
        </w:tc>
        <w:tc>
          <w:tcPr>
            <w:tcW w:w="1188" w:type="dxa"/>
            <w:vAlign w:val="center"/>
          </w:tcPr>
          <w:p w:rsidR="0061500F" w:rsidRPr="0061500F" w:rsidRDefault="0061500F">
            <w:pPr>
              <w:pStyle w:val="NormalWeb"/>
              <w:spacing w:before="0" w:beforeAutospacing="0" w:after="0" w:afterAutospacing="0"/>
              <w:jc w:val="center"/>
              <w:rPr>
                <w:rFonts w:ascii="Arial" w:hAnsi="Arial" w:cs="Arial"/>
              </w:rPr>
            </w:pPr>
            <w:r w:rsidRPr="0061500F">
              <w:rPr>
                <w:color w:val="000000" w:themeColor="text1"/>
                <w:kern w:val="3"/>
              </w:rPr>
              <w:t>9% </w:t>
            </w:r>
          </w:p>
        </w:tc>
      </w:tr>
    </w:tbl>
    <w:p w:rsidR="006323FC" w:rsidRPr="0061500F" w:rsidRDefault="006323FC" w:rsidP="006323FC">
      <w:pPr>
        <w:jc w:val="center"/>
        <w:rPr>
          <w:b/>
        </w:rPr>
      </w:pPr>
      <w:r>
        <w:rPr>
          <w:b/>
        </w:rPr>
        <w:lastRenderedPageBreak/>
        <w:t>ENGL 211</w:t>
      </w:r>
      <w:r w:rsidR="00FA084A">
        <w:rPr>
          <w:b/>
        </w:rPr>
        <w:t>C</w:t>
      </w:r>
      <w:r>
        <w:rPr>
          <w:b/>
        </w:rPr>
        <w:t xml:space="preserve"> (1</w:t>
      </w:r>
      <w:r w:rsidRPr="0061500F">
        <w:rPr>
          <w:b/>
        </w:rPr>
        <w:t xml:space="preserve">3 </w:t>
      </w:r>
      <w:r>
        <w:rPr>
          <w:b/>
        </w:rPr>
        <w:t>P</w:t>
      </w:r>
      <w:r w:rsidRPr="0061500F">
        <w:rPr>
          <w:b/>
        </w:rPr>
        <w:t>apers</w:t>
      </w:r>
      <w:r>
        <w:rPr>
          <w:b/>
        </w:rPr>
        <w:t>)</w:t>
      </w:r>
    </w:p>
    <w:p w:rsidR="006323FC" w:rsidRDefault="006323FC" w:rsidP="004C0F09"/>
    <w:tbl>
      <w:tblPr>
        <w:tblStyle w:val="TableGrid"/>
        <w:tblW w:w="0" w:type="auto"/>
        <w:tblLook w:val="04A0" w:firstRow="1" w:lastRow="0" w:firstColumn="1" w:lastColumn="0" w:noHBand="0" w:noVBand="1"/>
      </w:tblPr>
      <w:tblGrid>
        <w:gridCol w:w="4698"/>
        <w:gridCol w:w="1170"/>
        <w:gridCol w:w="1157"/>
        <w:gridCol w:w="1363"/>
        <w:gridCol w:w="1188"/>
      </w:tblGrid>
      <w:tr w:rsidR="006323FC" w:rsidTr="006323FC">
        <w:tc>
          <w:tcPr>
            <w:tcW w:w="4698" w:type="dxa"/>
          </w:tcPr>
          <w:p w:rsidR="006323FC" w:rsidRPr="006323FC" w:rsidRDefault="006323FC">
            <w:pPr>
              <w:rPr>
                <w:rFonts w:ascii="Arial" w:hAnsi="Arial" w:cs="Arial"/>
              </w:rPr>
            </w:pPr>
          </w:p>
        </w:tc>
        <w:tc>
          <w:tcPr>
            <w:tcW w:w="1170" w:type="dxa"/>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Exceeds Standard</w:t>
            </w:r>
          </w:p>
        </w:tc>
        <w:tc>
          <w:tcPr>
            <w:tcW w:w="1157" w:type="dxa"/>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Meets</w:t>
            </w:r>
          </w:p>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 xml:space="preserve"> Standard</w:t>
            </w:r>
          </w:p>
        </w:tc>
        <w:tc>
          <w:tcPr>
            <w:tcW w:w="1363" w:type="dxa"/>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Approaches Standard</w:t>
            </w:r>
          </w:p>
        </w:tc>
        <w:tc>
          <w:tcPr>
            <w:tcW w:w="1188" w:type="dxa"/>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Needs Attention</w:t>
            </w:r>
          </w:p>
        </w:tc>
      </w:tr>
      <w:tr w:rsidR="006323FC" w:rsidTr="006323FC">
        <w:tc>
          <w:tcPr>
            <w:tcW w:w="4698" w:type="dxa"/>
            <w:vAlign w:val="center"/>
          </w:tcPr>
          <w:p w:rsidR="006323FC" w:rsidRPr="006323FC" w:rsidRDefault="006323FC">
            <w:pPr>
              <w:pStyle w:val="NormalWeb"/>
              <w:spacing w:before="0" w:beforeAutospacing="0" w:after="0" w:afterAutospacing="0"/>
              <w:ind w:left="274" w:hanging="274"/>
              <w:rPr>
                <w:rFonts w:ascii="Arial" w:hAnsi="Arial" w:cs="Arial"/>
              </w:rPr>
            </w:pPr>
            <w:r w:rsidRPr="006323FC">
              <w:rPr>
                <w:color w:val="000000" w:themeColor="text1"/>
                <w:kern w:val="3"/>
              </w:rPr>
              <w:t xml:space="preserve">1. </w:t>
            </w:r>
            <w:proofErr w:type="gramStart"/>
            <w:r w:rsidRPr="006323FC">
              <w:rPr>
                <w:color w:val="000000" w:themeColor="text1"/>
                <w:kern w:val="3"/>
              </w:rPr>
              <w:t>understand</w:t>
            </w:r>
            <w:proofErr w:type="gramEnd"/>
            <w:r w:rsidRPr="006323FC">
              <w:rPr>
                <w:color w:val="000000" w:themeColor="text1"/>
                <w:kern w:val="3"/>
              </w:rPr>
              <w:t xml:space="preserve"> how to incorporate research responsibly and effectively into an extended piece of writing.</w:t>
            </w:r>
          </w:p>
        </w:tc>
        <w:tc>
          <w:tcPr>
            <w:tcW w:w="1170"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rFonts w:eastAsia="Tahoma"/>
                <w:color w:val="000000" w:themeColor="text1"/>
                <w:kern w:val="3"/>
              </w:rPr>
              <w:t>53%</w:t>
            </w:r>
          </w:p>
        </w:tc>
        <w:tc>
          <w:tcPr>
            <w:tcW w:w="1157"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rFonts w:eastAsia="Tahoma"/>
                <w:color w:val="000000" w:themeColor="text1"/>
                <w:kern w:val="3"/>
              </w:rPr>
              <w:t>23%</w:t>
            </w:r>
          </w:p>
        </w:tc>
        <w:tc>
          <w:tcPr>
            <w:tcW w:w="1363"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rFonts w:eastAsia="Tahoma"/>
                <w:color w:val="000000" w:themeColor="text1"/>
                <w:kern w:val="3"/>
              </w:rPr>
              <w:t>20%</w:t>
            </w:r>
          </w:p>
        </w:tc>
        <w:tc>
          <w:tcPr>
            <w:tcW w:w="1188"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rFonts w:eastAsia="Tahoma"/>
                <w:color w:val="000000" w:themeColor="text1"/>
                <w:kern w:val="3"/>
              </w:rPr>
              <w:t>3%</w:t>
            </w:r>
          </w:p>
        </w:tc>
      </w:tr>
      <w:tr w:rsidR="006323FC" w:rsidTr="006323FC">
        <w:tc>
          <w:tcPr>
            <w:tcW w:w="4698" w:type="dxa"/>
            <w:vAlign w:val="center"/>
          </w:tcPr>
          <w:p w:rsidR="006323FC" w:rsidRPr="006323FC" w:rsidRDefault="006323FC">
            <w:pPr>
              <w:pStyle w:val="NormalWeb"/>
              <w:spacing w:before="0" w:beforeAutospacing="0" w:after="0" w:afterAutospacing="0"/>
              <w:ind w:left="274" w:hanging="274"/>
              <w:rPr>
                <w:rFonts w:ascii="Arial" w:hAnsi="Arial" w:cs="Arial"/>
              </w:rPr>
            </w:pPr>
            <w:r w:rsidRPr="006323FC">
              <w:rPr>
                <w:color w:val="000000" w:themeColor="text1"/>
                <w:kern w:val="3"/>
              </w:rPr>
              <w:t xml:space="preserve">2. </w:t>
            </w:r>
            <w:proofErr w:type="gramStart"/>
            <w:r w:rsidRPr="006323FC">
              <w:rPr>
                <w:color w:val="000000" w:themeColor="text1"/>
                <w:kern w:val="3"/>
              </w:rPr>
              <w:t>recognize</w:t>
            </w:r>
            <w:proofErr w:type="gramEnd"/>
            <w:r w:rsidRPr="006323FC">
              <w:rPr>
                <w:color w:val="000000" w:themeColor="text1"/>
                <w:kern w:val="3"/>
              </w:rPr>
              <w:t xml:space="preserve"> the core principles of argumentation, including proper use of assumptions, claims, emotion, &amp; reason, as well as identification of logical fallacies, biases, &amp; propaganda.</w:t>
            </w:r>
          </w:p>
        </w:tc>
        <w:tc>
          <w:tcPr>
            <w:tcW w:w="1170"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43%</w:t>
            </w:r>
          </w:p>
        </w:tc>
        <w:tc>
          <w:tcPr>
            <w:tcW w:w="1157"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30%</w:t>
            </w:r>
          </w:p>
        </w:tc>
        <w:tc>
          <w:tcPr>
            <w:tcW w:w="1363"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23%</w:t>
            </w:r>
          </w:p>
        </w:tc>
        <w:tc>
          <w:tcPr>
            <w:tcW w:w="1188"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3%</w:t>
            </w:r>
          </w:p>
        </w:tc>
      </w:tr>
      <w:tr w:rsidR="006323FC" w:rsidTr="006323FC">
        <w:tc>
          <w:tcPr>
            <w:tcW w:w="4698" w:type="dxa"/>
            <w:vAlign w:val="center"/>
          </w:tcPr>
          <w:p w:rsidR="006323FC" w:rsidRPr="006323FC" w:rsidRDefault="006323FC">
            <w:pPr>
              <w:pStyle w:val="NormalWeb"/>
              <w:spacing w:before="0" w:beforeAutospacing="0" w:after="0" w:afterAutospacing="0"/>
              <w:ind w:left="274" w:hanging="274"/>
              <w:rPr>
                <w:rFonts w:ascii="Arial" w:hAnsi="Arial" w:cs="Arial"/>
              </w:rPr>
            </w:pPr>
            <w:r w:rsidRPr="006323FC">
              <w:rPr>
                <w:color w:val="000000" w:themeColor="text1"/>
                <w:kern w:val="3"/>
              </w:rPr>
              <w:t xml:space="preserve">3. </w:t>
            </w:r>
            <w:proofErr w:type="gramStart"/>
            <w:r w:rsidRPr="006323FC">
              <w:rPr>
                <w:color w:val="000000" w:themeColor="text1"/>
                <w:kern w:val="3"/>
              </w:rPr>
              <w:t>develop</w:t>
            </w:r>
            <w:proofErr w:type="gramEnd"/>
            <w:r w:rsidRPr="006323FC">
              <w:rPr>
                <w:color w:val="000000" w:themeColor="text1"/>
                <w:kern w:val="3"/>
              </w:rPr>
              <w:t xml:space="preserve"> a repertoire of effective and ethical rhetorical tools for academic and professional writing tasks.</w:t>
            </w:r>
          </w:p>
        </w:tc>
        <w:tc>
          <w:tcPr>
            <w:tcW w:w="1170"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47%</w:t>
            </w:r>
          </w:p>
        </w:tc>
        <w:tc>
          <w:tcPr>
            <w:tcW w:w="1157"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23%</w:t>
            </w:r>
          </w:p>
        </w:tc>
        <w:tc>
          <w:tcPr>
            <w:tcW w:w="1363"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20%</w:t>
            </w:r>
          </w:p>
        </w:tc>
        <w:tc>
          <w:tcPr>
            <w:tcW w:w="1188"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10%</w:t>
            </w:r>
          </w:p>
        </w:tc>
      </w:tr>
      <w:tr w:rsidR="006323FC" w:rsidTr="006323FC">
        <w:tc>
          <w:tcPr>
            <w:tcW w:w="4698" w:type="dxa"/>
            <w:vAlign w:val="center"/>
          </w:tcPr>
          <w:p w:rsidR="006323FC" w:rsidRPr="006323FC" w:rsidRDefault="006323FC">
            <w:pPr>
              <w:pStyle w:val="NormalWeb"/>
              <w:spacing w:before="0" w:beforeAutospacing="0" w:after="0" w:afterAutospacing="0"/>
              <w:ind w:left="274" w:hanging="274"/>
              <w:rPr>
                <w:rFonts w:ascii="Arial" w:hAnsi="Arial" w:cs="Arial"/>
              </w:rPr>
            </w:pPr>
            <w:r w:rsidRPr="006323FC">
              <w:rPr>
                <w:color w:val="000000" w:themeColor="text1"/>
                <w:kern w:val="3"/>
              </w:rPr>
              <w:t xml:space="preserve">4. </w:t>
            </w:r>
            <w:proofErr w:type="gramStart"/>
            <w:r w:rsidRPr="006323FC">
              <w:rPr>
                <w:color w:val="000000" w:themeColor="text1"/>
                <w:kern w:val="3"/>
              </w:rPr>
              <w:t>read</w:t>
            </w:r>
            <w:proofErr w:type="gramEnd"/>
            <w:r w:rsidRPr="006323FC">
              <w:rPr>
                <w:color w:val="000000" w:themeColor="text1"/>
                <w:kern w:val="3"/>
              </w:rPr>
              <w:t xml:space="preserve"> popular, academic, &amp; professional nonfiction writing analytically and critically.</w:t>
            </w:r>
          </w:p>
        </w:tc>
        <w:tc>
          <w:tcPr>
            <w:tcW w:w="1170"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53%</w:t>
            </w:r>
          </w:p>
        </w:tc>
        <w:tc>
          <w:tcPr>
            <w:tcW w:w="1157"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23%</w:t>
            </w:r>
          </w:p>
        </w:tc>
        <w:tc>
          <w:tcPr>
            <w:tcW w:w="1363"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13%</w:t>
            </w:r>
          </w:p>
        </w:tc>
        <w:tc>
          <w:tcPr>
            <w:tcW w:w="1188" w:type="dxa"/>
            <w:vAlign w:val="center"/>
          </w:tcPr>
          <w:p w:rsidR="006323FC" w:rsidRPr="006323FC" w:rsidRDefault="006323FC">
            <w:pPr>
              <w:pStyle w:val="NormalWeb"/>
              <w:spacing w:before="0" w:beforeAutospacing="0" w:after="0" w:afterAutospacing="0"/>
              <w:jc w:val="center"/>
              <w:rPr>
                <w:rFonts w:ascii="Arial" w:hAnsi="Arial" w:cs="Arial"/>
              </w:rPr>
            </w:pPr>
            <w:r w:rsidRPr="006323FC">
              <w:rPr>
                <w:color w:val="000000" w:themeColor="text1"/>
                <w:kern w:val="3"/>
              </w:rPr>
              <w:t>10%</w:t>
            </w:r>
          </w:p>
        </w:tc>
      </w:tr>
    </w:tbl>
    <w:p w:rsidR="006323FC" w:rsidRDefault="006323FC" w:rsidP="004C0F09"/>
    <w:p w:rsidR="0061500F" w:rsidRDefault="0061500F" w:rsidP="004C0F09"/>
    <w:p w:rsidR="00791590" w:rsidRPr="0061500F" w:rsidRDefault="00791590" w:rsidP="00791590">
      <w:pPr>
        <w:jc w:val="center"/>
        <w:rPr>
          <w:b/>
        </w:rPr>
      </w:pPr>
      <w:r>
        <w:rPr>
          <w:b/>
        </w:rPr>
        <w:t>ENGL 221</w:t>
      </w:r>
      <w:r w:rsidR="00FA084A">
        <w:rPr>
          <w:b/>
        </w:rPr>
        <w:t>C</w:t>
      </w:r>
      <w:r>
        <w:rPr>
          <w:b/>
        </w:rPr>
        <w:t xml:space="preserve"> (5</w:t>
      </w:r>
      <w:r w:rsidRPr="0061500F">
        <w:rPr>
          <w:b/>
        </w:rPr>
        <w:t xml:space="preserve"> </w:t>
      </w:r>
      <w:r>
        <w:rPr>
          <w:b/>
        </w:rPr>
        <w:t>P</w:t>
      </w:r>
      <w:r w:rsidRPr="0061500F">
        <w:rPr>
          <w:b/>
        </w:rPr>
        <w:t>apers</w:t>
      </w:r>
      <w:r>
        <w:rPr>
          <w:b/>
        </w:rPr>
        <w:t>)</w:t>
      </w:r>
    </w:p>
    <w:p w:rsidR="0061500F" w:rsidRDefault="0061500F" w:rsidP="004C0F09"/>
    <w:tbl>
      <w:tblPr>
        <w:tblStyle w:val="TableGrid"/>
        <w:tblW w:w="0" w:type="auto"/>
        <w:tblLook w:val="04A0" w:firstRow="1" w:lastRow="0" w:firstColumn="1" w:lastColumn="0" w:noHBand="0" w:noVBand="1"/>
      </w:tblPr>
      <w:tblGrid>
        <w:gridCol w:w="4698"/>
        <w:gridCol w:w="1170"/>
        <w:gridCol w:w="1157"/>
        <w:gridCol w:w="1363"/>
        <w:gridCol w:w="1188"/>
      </w:tblGrid>
      <w:tr w:rsidR="00791590" w:rsidTr="00791590">
        <w:tc>
          <w:tcPr>
            <w:tcW w:w="4698" w:type="dxa"/>
          </w:tcPr>
          <w:p w:rsidR="00791590" w:rsidRPr="00791590" w:rsidRDefault="00791590">
            <w:pPr>
              <w:rPr>
                <w:rFonts w:ascii="Arial" w:hAnsi="Arial" w:cs="Arial"/>
              </w:rPr>
            </w:pPr>
          </w:p>
        </w:tc>
        <w:tc>
          <w:tcPr>
            <w:tcW w:w="1170" w:type="dxa"/>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Exceeds Standard</w:t>
            </w:r>
          </w:p>
        </w:tc>
        <w:tc>
          <w:tcPr>
            <w:tcW w:w="1157" w:type="dxa"/>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Meets</w:t>
            </w:r>
          </w:p>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 xml:space="preserve"> Standard</w:t>
            </w:r>
          </w:p>
        </w:tc>
        <w:tc>
          <w:tcPr>
            <w:tcW w:w="1363" w:type="dxa"/>
          </w:tcPr>
          <w:p w:rsidR="00791590" w:rsidRPr="00791590" w:rsidRDefault="00FA084A" w:rsidP="00FA084A">
            <w:pPr>
              <w:pStyle w:val="NormalWeb"/>
              <w:spacing w:before="0" w:beforeAutospacing="0" w:after="0" w:afterAutospacing="0"/>
              <w:jc w:val="center"/>
              <w:rPr>
                <w:rFonts w:ascii="Arial" w:hAnsi="Arial" w:cs="Arial"/>
              </w:rPr>
            </w:pPr>
            <w:r>
              <w:rPr>
                <w:color w:val="000000" w:themeColor="text1"/>
                <w:kern w:val="3"/>
              </w:rPr>
              <w:t>A</w:t>
            </w:r>
            <w:r w:rsidR="00791590" w:rsidRPr="00791590">
              <w:rPr>
                <w:color w:val="000000" w:themeColor="text1"/>
                <w:kern w:val="3"/>
              </w:rPr>
              <w:t>pproaches Standard</w:t>
            </w:r>
          </w:p>
        </w:tc>
        <w:tc>
          <w:tcPr>
            <w:tcW w:w="1188" w:type="dxa"/>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Needs Attention</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1. </w:t>
            </w:r>
            <w:proofErr w:type="gramStart"/>
            <w:r w:rsidRPr="00791590">
              <w:rPr>
                <w:color w:val="000000" w:themeColor="text1"/>
                <w:kern w:val="3"/>
              </w:rPr>
              <w:t>understand</w:t>
            </w:r>
            <w:proofErr w:type="gramEnd"/>
            <w:r w:rsidRPr="00791590">
              <w:rPr>
                <w:color w:val="000000" w:themeColor="text1"/>
                <w:kern w:val="3"/>
              </w:rPr>
              <w:t xml:space="preserve"> how to incorporate research responsibly and effectively into an extended piece of writing.</w:t>
            </w:r>
          </w:p>
        </w:tc>
        <w:tc>
          <w:tcPr>
            <w:tcW w:w="1170"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75%</w:t>
            </w:r>
          </w:p>
        </w:tc>
        <w:tc>
          <w:tcPr>
            <w:tcW w:w="1157"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25%</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0%</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0%</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2. </w:t>
            </w:r>
            <w:proofErr w:type="gramStart"/>
            <w:r w:rsidRPr="00791590">
              <w:rPr>
                <w:color w:val="000000" w:themeColor="text1"/>
                <w:kern w:val="3"/>
              </w:rPr>
              <w:t>recognize</w:t>
            </w:r>
            <w:proofErr w:type="gramEnd"/>
            <w:r w:rsidRPr="00791590">
              <w:rPr>
                <w:color w:val="000000" w:themeColor="text1"/>
                <w:kern w:val="3"/>
              </w:rPr>
              <w:t xml:space="preserve"> the core principles of argumentation, including proper use of assumptions, claims, emotion, &amp; reason, as well as identification of logical fallacies, biases, &amp; propaganda.</w:t>
            </w:r>
          </w:p>
        </w:tc>
        <w:tc>
          <w:tcPr>
            <w:tcW w:w="1170"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25%</w:t>
            </w:r>
          </w:p>
        </w:tc>
        <w:tc>
          <w:tcPr>
            <w:tcW w:w="1157"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75%</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0%</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0%</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3. </w:t>
            </w:r>
            <w:proofErr w:type="gramStart"/>
            <w:r w:rsidRPr="00791590">
              <w:rPr>
                <w:color w:val="000000" w:themeColor="text1"/>
                <w:kern w:val="3"/>
              </w:rPr>
              <w:t>develop</w:t>
            </w:r>
            <w:proofErr w:type="gramEnd"/>
            <w:r w:rsidRPr="00791590">
              <w:rPr>
                <w:color w:val="000000" w:themeColor="text1"/>
                <w:kern w:val="3"/>
              </w:rPr>
              <w:t xml:space="preserve"> a repertoire of effective and ethical rhetorical tools for academic and professional writing tasks.</w:t>
            </w:r>
          </w:p>
        </w:tc>
        <w:tc>
          <w:tcPr>
            <w:tcW w:w="1170" w:type="dxa"/>
            <w:vAlign w:val="center"/>
          </w:tcPr>
          <w:p w:rsidR="00791590" w:rsidRPr="00B90C32" w:rsidRDefault="00B90C32">
            <w:pPr>
              <w:pStyle w:val="NormalWeb"/>
              <w:spacing w:before="0" w:beforeAutospacing="0" w:after="0" w:afterAutospacing="0"/>
              <w:jc w:val="center"/>
              <w:rPr>
                <w:rFonts w:ascii="Arial" w:hAnsi="Arial" w:cs="Arial"/>
              </w:rPr>
            </w:pPr>
            <w:r w:rsidRPr="00B90C32">
              <w:rPr>
                <w:color w:val="000000" w:themeColor="text1"/>
                <w:kern w:val="3"/>
              </w:rPr>
              <w:t>5</w:t>
            </w:r>
            <w:r w:rsidR="00791590" w:rsidRPr="00B90C32">
              <w:rPr>
                <w:color w:val="000000" w:themeColor="text1"/>
                <w:kern w:val="3"/>
              </w:rPr>
              <w:t>0%</w:t>
            </w:r>
          </w:p>
        </w:tc>
        <w:tc>
          <w:tcPr>
            <w:tcW w:w="1157" w:type="dxa"/>
            <w:vAlign w:val="center"/>
          </w:tcPr>
          <w:p w:rsidR="00791590" w:rsidRPr="00B90C32" w:rsidRDefault="00B90C32">
            <w:pPr>
              <w:pStyle w:val="NormalWeb"/>
              <w:spacing w:before="0" w:beforeAutospacing="0" w:after="0" w:afterAutospacing="0"/>
              <w:jc w:val="center"/>
              <w:rPr>
                <w:rFonts w:ascii="Arial" w:hAnsi="Arial" w:cs="Arial"/>
              </w:rPr>
            </w:pPr>
            <w:r w:rsidRPr="00B90C32">
              <w:rPr>
                <w:color w:val="000000" w:themeColor="text1"/>
                <w:kern w:val="3"/>
              </w:rPr>
              <w:t>5</w:t>
            </w:r>
            <w:r w:rsidR="00791590" w:rsidRPr="00B90C32">
              <w:rPr>
                <w:color w:val="000000" w:themeColor="text1"/>
                <w:kern w:val="3"/>
              </w:rPr>
              <w:t>0%</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0%</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0%</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4. </w:t>
            </w:r>
            <w:proofErr w:type="gramStart"/>
            <w:r w:rsidRPr="00791590">
              <w:rPr>
                <w:color w:val="000000" w:themeColor="text1"/>
                <w:kern w:val="3"/>
              </w:rPr>
              <w:t>read</w:t>
            </w:r>
            <w:proofErr w:type="gramEnd"/>
            <w:r w:rsidRPr="00791590">
              <w:rPr>
                <w:color w:val="000000" w:themeColor="text1"/>
                <w:kern w:val="3"/>
              </w:rPr>
              <w:t xml:space="preserve"> popular, academic, &amp; professional nonfiction writing analytically and critically.</w:t>
            </w:r>
          </w:p>
        </w:tc>
        <w:tc>
          <w:tcPr>
            <w:tcW w:w="1170"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25%</w:t>
            </w:r>
          </w:p>
        </w:tc>
        <w:tc>
          <w:tcPr>
            <w:tcW w:w="1157"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75%</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0%</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0%</w:t>
            </w:r>
          </w:p>
        </w:tc>
      </w:tr>
    </w:tbl>
    <w:p w:rsidR="0061500F" w:rsidRDefault="0061500F" w:rsidP="004C0F09"/>
    <w:p w:rsidR="0061500F" w:rsidRDefault="0061500F" w:rsidP="004C0F09"/>
    <w:p w:rsidR="002F7E7E" w:rsidRDefault="002F7E7E">
      <w:pPr>
        <w:rPr>
          <w:b/>
        </w:rPr>
      </w:pPr>
      <w:r>
        <w:rPr>
          <w:b/>
        </w:rPr>
        <w:br w:type="page"/>
      </w:r>
    </w:p>
    <w:p w:rsidR="0061500F" w:rsidRDefault="00791590" w:rsidP="00791590">
      <w:pPr>
        <w:jc w:val="center"/>
      </w:pPr>
      <w:r>
        <w:rPr>
          <w:b/>
        </w:rPr>
        <w:lastRenderedPageBreak/>
        <w:t>ENGL 231</w:t>
      </w:r>
      <w:r w:rsidR="00FA084A">
        <w:rPr>
          <w:b/>
        </w:rPr>
        <w:t>C</w:t>
      </w:r>
      <w:r>
        <w:rPr>
          <w:b/>
        </w:rPr>
        <w:t xml:space="preserve"> (12</w:t>
      </w:r>
      <w:r w:rsidRPr="0061500F">
        <w:rPr>
          <w:b/>
        </w:rPr>
        <w:t xml:space="preserve"> </w:t>
      </w:r>
      <w:r>
        <w:rPr>
          <w:b/>
        </w:rPr>
        <w:t>P</w:t>
      </w:r>
      <w:r w:rsidRPr="0061500F">
        <w:rPr>
          <w:b/>
        </w:rPr>
        <w:t>apers</w:t>
      </w:r>
      <w:r>
        <w:rPr>
          <w:b/>
        </w:rPr>
        <w:t>)</w:t>
      </w:r>
    </w:p>
    <w:p w:rsidR="0061500F" w:rsidRDefault="0061500F" w:rsidP="004C0F09"/>
    <w:tbl>
      <w:tblPr>
        <w:tblStyle w:val="TableGrid"/>
        <w:tblW w:w="0" w:type="auto"/>
        <w:tblLook w:val="04A0" w:firstRow="1" w:lastRow="0" w:firstColumn="1" w:lastColumn="0" w:noHBand="0" w:noVBand="1"/>
      </w:tblPr>
      <w:tblGrid>
        <w:gridCol w:w="4698"/>
        <w:gridCol w:w="1170"/>
        <w:gridCol w:w="1157"/>
        <w:gridCol w:w="1363"/>
        <w:gridCol w:w="1188"/>
      </w:tblGrid>
      <w:tr w:rsidR="00791590" w:rsidTr="00791590">
        <w:tc>
          <w:tcPr>
            <w:tcW w:w="4698" w:type="dxa"/>
          </w:tcPr>
          <w:p w:rsidR="00791590" w:rsidRPr="00791590" w:rsidRDefault="00791590">
            <w:pPr>
              <w:rPr>
                <w:rFonts w:ascii="Arial" w:hAnsi="Arial" w:cs="Arial"/>
              </w:rPr>
            </w:pPr>
          </w:p>
        </w:tc>
        <w:tc>
          <w:tcPr>
            <w:tcW w:w="1170" w:type="dxa"/>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Exceeds Standard</w:t>
            </w:r>
          </w:p>
        </w:tc>
        <w:tc>
          <w:tcPr>
            <w:tcW w:w="1157" w:type="dxa"/>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Meets</w:t>
            </w:r>
          </w:p>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 xml:space="preserve"> Standard</w:t>
            </w:r>
          </w:p>
        </w:tc>
        <w:tc>
          <w:tcPr>
            <w:tcW w:w="1363" w:type="dxa"/>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Approaches Standard</w:t>
            </w:r>
          </w:p>
        </w:tc>
        <w:tc>
          <w:tcPr>
            <w:tcW w:w="1188" w:type="dxa"/>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Needs Attention</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1. </w:t>
            </w:r>
            <w:proofErr w:type="gramStart"/>
            <w:r w:rsidRPr="00791590">
              <w:rPr>
                <w:color w:val="000000" w:themeColor="text1"/>
                <w:kern w:val="3"/>
              </w:rPr>
              <w:t>understand</w:t>
            </w:r>
            <w:proofErr w:type="gramEnd"/>
            <w:r w:rsidRPr="00791590">
              <w:rPr>
                <w:color w:val="000000" w:themeColor="text1"/>
                <w:kern w:val="3"/>
              </w:rPr>
              <w:t xml:space="preserve"> how to incorporate research responsibly and effectively into an extended piece of writing.</w:t>
            </w:r>
          </w:p>
        </w:tc>
        <w:tc>
          <w:tcPr>
            <w:tcW w:w="1170"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32%</w:t>
            </w:r>
          </w:p>
        </w:tc>
        <w:tc>
          <w:tcPr>
            <w:tcW w:w="1157"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23%</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32%</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rFonts w:eastAsia="Tahoma"/>
                <w:color w:val="000000" w:themeColor="text1"/>
                <w:kern w:val="3"/>
              </w:rPr>
              <w:t>13%</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2. </w:t>
            </w:r>
            <w:proofErr w:type="gramStart"/>
            <w:r w:rsidRPr="00791590">
              <w:rPr>
                <w:color w:val="000000" w:themeColor="text1"/>
                <w:kern w:val="3"/>
              </w:rPr>
              <w:t>recognize</w:t>
            </w:r>
            <w:proofErr w:type="gramEnd"/>
            <w:r w:rsidRPr="00791590">
              <w:rPr>
                <w:color w:val="000000" w:themeColor="text1"/>
                <w:kern w:val="3"/>
              </w:rPr>
              <w:t xml:space="preserve"> the core principles of argumentation, including proper use of assumptions, claims, emotion, &amp; reason, as well as identification of logical fallacies, biases, &amp; propaganda.</w:t>
            </w:r>
          </w:p>
        </w:tc>
        <w:tc>
          <w:tcPr>
            <w:tcW w:w="1170"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32%</w:t>
            </w:r>
          </w:p>
        </w:tc>
        <w:tc>
          <w:tcPr>
            <w:tcW w:w="1157"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36%</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32%</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0%</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3. </w:t>
            </w:r>
            <w:proofErr w:type="gramStart"/>
            <w:r w:rsidRPr="00791590">
              <w:rPr>
                <w:color w:val="000000" w:themeColor="text1"/>
                <w:kern w:val="3"/>
              </w:rPr>
              <w:t>develop</w:t>
            </w:r>
            <w:proofErr w:type="gramEnd"/>
            <w:r w:rsidRPr="00791590">
              <w:rPr>
                <w:color w:val="000000" w:themeColor="text1"/>
                <w:kern w:val="3"/>
              </w:rPr>
              <w:t xml:space="preserve"> a repertoire of effective and ethical rhetorical tools for academic and professional writing tasks.</w:t>
            </w:r>
          </w:p>
        </w:tc>
        <w:tc>
          <w:tcPr>
            <w:tcW w:w="1170"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27%</w:t>
            </w:r>
          </w:p>
        </w:tc>
        <w:tc>
          <w:tcPr>
            <w:tcW w:w="1157"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45%</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23%</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5%</w:t>
            </w:r>
          </w:p>
        </w:tc>
      </w:tr>
      <w:tr w:rsidR="00791590" w:rsidTr="00791590">
        <w:tc>
          <w:tcPr>
            <w:tcW w:w="4698" w:type="dxa"/>
            <w:vAlign w:val="center"/>
          </w:tcPr>
          <w:p w:rsidR="00791590" w:rsidRPr="00791590" w:rsidRDefault="00791590">
            <w:pPr>
              <w:pStyle w:val="NormalWeb"/>
              <w:spacing w:before="0" w:beforeAutospacing="0" w:after="0" w:afterAutospacing="0"/>
              <w:ind w:left="274" w:hanging="274"/>
              <w:rPr>
                <w:rFonts w:ascii="Arial" w:hAnsi="Arial" w:cs="Arial"/>
              </w:rPr>
            </w:pPr>
            <w:r w:rsidRPr="00791590">
              <w:rPr>
                <w:color w:val="000000" w:themeColor="text1"/>
                <w:kern w:val="3"/>
              </w:rPr>
              <w:t xml:space="preserve">4. </w:t>
            </w:r>
            <w:proofErr w:type="gramStart"/>
            <w:r w:rsidRPr="00791590">
              <w:rPr>
                <w:color w:val="000000" w:themeColor="text1"/>
                <w:kern w:val="3"/>
              </w:rPr>
              <w:t>read</w:t>
            </w:r>
            <w:proofErr w:type="gramEnd"/>
            <w:r w:rsidRPr="00791590">
              <w:rPr>
                <w:color w:val="000000" w:themeColor="text1"/>
                <w:kern w:val="3"/>
              </w:rPr>
              <w:t xml:space="preserve"> popular, academic, &amp; professional nonfiction writing analytically and critically.</w:t>
            </w:r>
          </w:p>
        </w:tc>
        <w:tc>
          <w:tcPr>
            <w:tcW w:w="1170"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36%</w:t>
            </w:r>
          </w:p>
        </w:tc>
        <w:tc>
          <w:tcPr>
            <w:tcW w:w="1157"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36%</w:t>
            </w:r>
          </w:p>
        </w:tc>
        <w:tc>
          <w:tcPr>
            <w:tcW w:w="1363"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18%</w:t>
            </w:r>
          </w:p>
        </w:tc>
        <w:tc>
          <w:tcPr>
            <w:tcW w:w="1188" w:type="dxa"/>
            <w:vAlign w:val="center"/>
          </w:tcPr>
          <w:p w:rsidR="00791590" w:rsidRPr="00791590" w:rsidRDefault="00791590">
            <w:pPr>
              <w:pStyle w:val="NormalWeb"/>
              <w:spacing w:before="0" w:beforeAutospacing="0" w:after="0" w:afterAutospacing="0"/>
              <w:jc w:val="center"/>
              <w:rPr>
                <w:rFonts w:ascii="Arial" w:hAnsi="Arial" w:cs="Arial"/>
              </w:rPr>
            </w:pPr>
            <w:r w:rsidRPr="00791590">
              <w:rPr>
                <w:color w:val="000000" w:themeColor="text1"/>
                <w:kern w:val="3"/>
              </w:rPr>
              <w:t>9%</w:t>
            </w:r>
          </w:p>
        </w:tc>
      </w:tr>
    </w:tbl>
    <w:p w:rsidR="0061500F" w:rsidRDefault="0061500F" w:rsidP="004C0F09"/>
    <w:p w:rsidR="00791590" w:rsidRDefault="00791590" w:rsidP="003A3963">
      <w:pPr>
        <w:rPr>
          <w:b/>
          <w:u w:val="single"/>
        </w:rPr>
      </w:pPr>
    </w:p>
    <w:p w:rsidR="00FB3D63" w:rsidRPr="00FB3D63" w:rsidRDefault="00FB3D63" w:rsidP="00FB3D63">
      <w:pPr>
        <w:rPr>
          <w:b/>
          <w:u w:val="single"/>
        </w:rPr>
      </w:pPr>
      <w:r w:rsidRPr="00FB3D63">
        <w:rPr>
          <w:b/>
          <w:u w:val="single"/>
        </w:rPr>
        <w:t>Debriefing</w:t>
      </w:r>
    </w:p>
    <w:p w:rsidR="00FB3D63" w:rsidRPr="00FB3D63" w:rsidRDefault="00FB3D63" w:rsidP="00FB3D63">
      <w:pPr>
        <w:rPr>
          <w:b/>
        </w:rPr>
      </w:pPr>
    </w:p>
    <w:p w:rsidR="00664E36" w:rsidRPr="00FB3D63" w:rsidRDefault="00FB3D63" w:rsidP="00FB3D63">
      <w:r w:rsidRPr="00FB3D63">
        <w:t>After all of the ratings were completed, the raters were debriefed and asked about (a) the calibration and rating process, in particular how reliable and valid they found it to be; (b) student learning, especially the areas of strength and areas that need improvement; and (c) recommendations for other faculty who teach ENGL 211</w:t>
      </w:r>
      <w:r>
        <w:t>C</w:t>
      </w:r>
      <w:r w:rsidRPr="00FB3D63">
        <w:t xml:space="preserve"> /221</w:t>
      </w:r>
      <w:r>
        <w:t>C</w:t>
      </w:r>
      <w:r w:rsidRPr="00FB3D63">
        <w:t xml:space="preserve"> /231</w:t>
      </w:r>
      <w:r>
        <w:t>C</w:t>
      </w:r>
      <w:r w:rsidRPr="00FB3D63">
        <w:t>.</w:t>
      </w:r>
    </w:p>
    <w:p w:rsidR="00664E36" w:rsidRDefault="00664E36" w:rsidP="003A3963">
      <w:pPr>
        <w:rPr>
          <w:b/>
          <w:u w:val="single"/>
        </w:rPr>
      </w:pPr>
    </w:p>
    <w:p w:rsidR="0043353D" w:rsidRDefault="0043353D" w:rsidP="00FC3EE6">
      <w:proofErr w:type="gramStart"/>
      <w:r w:rsidRPr="00FC3EE6">
        <w:rPr>
          <w:b/>
        </w:rPr>
        <w:t>Process</w:t>
      </w:r>
      <w:r w:rsidR="00FC3EE6">
        <w:rPr>
          <w:b/>
        </w:rPr>
        <w:t>.</w:t>
      </w:r>
      <w:proofErr w:type="gramEnd"/>
      <w:r w:rsidR="00FC3EE6">
        <w:rPr>
          <w:b/>
        </w:rPr>
        <w:t xml:space="preserve"> </w:t>
      </w:r>
      <w:r w:rsidR="00FC3EE6">
        <w:t xml:space="preserve">The calibration process was rigorous and led to reliable ratings of the portfolios. </w:t>
      </w:r>
      <w:r>
        <w:t>The</w:t>
      </w:r>
      <w:r w:rsidR="00FC3EE6">
        <w:t xml:space="preserve"> raters indicated that the</w:t>
      </w:r>
      <w:r>
        <w:t xml:space="preserve"> calibration process was very helpful in </w:t>
      </w:r>
      <w:r w:rsidR="00BE722B">
        <w:t xml:space="preserve">facilitating </w:t>
      </w:r>
      <w:r>
        <w:t>the</w:t>
      </w:r>
      <w:r w:rsidR="00FC3EE6">
        <w:t>ir</w:t>
      </w:r>
      <w:r>
        <w:t xml:space="preserve"> </w:t>
      </w:r>
      <w:r w:rsidR="009017E0">
        <w:t>rating</w:t>
      </w:r>
      <w:r w:rsidR="007F7154">
        <w:t>s</w:t>
      </w:r>
      <w:r w:rsidR="009017E0">
        <w:t xml:space="preserve"> of ENGL 211</w:t>
      </w:r>
      <w:r w:rsidR="00FC3EE6">
        <w:t>C</w:t>
      </w:r>
      <w:r w:rsidR="009017E0">
        <w:t>/221</w:t>
      </w:r>
      <w:r w:rsidR="00FC3EE6">
        <w:t>C</w:t>
      </w:r>
      <w:r w:rsidR="009017E0">
        <w:t>/231</w:t>
      </w:r>
      <w:r w:rsidR="00FC3EE6">
        <w:t>C</w:t>
      </w:r>
      <w:r w:rsidR="009017E0">
        <w:t xml:space="preserve"> </w:t>
      </w:r>
      <w:r w:rsidR="00FC3EE6">
        <w:t>portfolio</w:t>
      </w:r>
      <w:r w:rsidR="009017E0">
        <w:t>s to provide</w:t>
      </w:r>
      <w:r w:rsidR="00BE722B">
        <w:t xml:space="preserve"> valid data</w:t>
      </w:r>
      <w:r>
        <w:t xml:space="preserve">. As part of the process the raters had good discussions about their </w:t>
      </w:r>
      <w:r w:rsidR="00FC3EE6">
        <w:t>u</w:t>
      </w:r>
      <w:r>
        <w:t xml:space="preserve">nderstanding of the SLO and their interpretation of the rubric. </w:t>
      </w:r>
      <w:r w:rsidR="00465ADE">
        <w:t>The</w:t>
      </w:r>
      <w:r w:rsidR="000C7DBA">
        <w:t xml:space="preserve">y </w:t>
      </w:r>
      <w:r w:rsidR="00465ADE">
        <w:t>helped to fine-</w:t>
      </w:r>
      <w:r w:rsidR="009017E0">
        <w:t xml:space="preserve">tune the rubric and clarify differences between the Approaches Standard and Needs Attention ratings. </w:t>
      </w:r>
      <w:r>
        <w:t>The calibration was particularly helpful for the two raters who were not English majors.</w:t>
      </w:r>
      <w:r w:rsidR="00FC3EE6">
        <w:t xml:space="preserve"> </w:t>
      </w:r>
      <w:r w:rsidR="009017E0">
        <w:t xml:space="preserve">A measure of the success of the calibration process is that few of the </w:t>
      </w:r>
      <w:r w:rsidR="000C7DBA">
        <w:t>portfolio</w:t>
      </w:r>
      <w:r w:rsidR="009017E0">
        <w:t xml:space="preserve">s required a third rater – the ratings for vast majority of </w:t>
      </w:r>
      <w:r w:rsidR="000C7DBA">
        <w:t>portfolio</w:t>
      </w:r>
      <w:r w:rsidR="009017E0">
        <w:t xml:space="preserve">s were within </w:t>
      </w:r>
      <w:r w:rsidR="000C7DBA">
        <w:t>one</w:t>
      </w:r>
      <w:r w:rsidR="009017E0">
        <w:t xml:space="preserve"> point of each other for the two raters. </w:t>
      </w:r>
      <w:r w:rsidR="00465ADE">
        <w:t>O</w:t>
      </w:r>
      <w:r>
        <w:t>ne of the raters summarized it well – “if you give the papers to someone else you will get the same sort of result.”</w:t>
      </w:r>
    </w:p>
    <w:p w:rsidR="00166BA1" w:rsidRDefault="00166BA1" w:rsidP="0043353D"/>
    <w:p w:rsidR="00166BA1" w:rsidRDefault="00FC3EE6" w:rsidP="00FC3EE6">
      <w:r>
        <w:t>Although they believed that the calibration process was rigorous and led to accurate ratings, the raters offered a couple of suggestions for improving the calibration process. For example, they suggested that s</w:t>
      </w:r>
      <w:r w:rsidR="00166BA1">
        <w:t xml:space="preserve">ome clarification of SLO </w:t>
      </w:r>
      <w:r w:rsidR="00465ADE">
        <w:t>#</w:t>
      </w:r>
      <w:r w:rsidR="00166BA1">
        <w:t xml:space="preserve">3 (“develop a repertoire of effective and ethical tools…”) would help to identify the </w:t>
      </w:r>
      <w:r w:rsidR="00465ADE">
        <w:t xml:space="preserve">range of </w:t>
      </w:r>
      <w:r w:rsidR="00166BA1">
        <w:t xml:space="preserve">mechanics on which to focus. </w:t>
      </w:r>
      <w:r>
        <w:t xml:space="preserve">They also suggested that </w:t>
      </w:r>
      <w:r w:rsidR="000C7DBA">
        <w:t>GEAC</w:t>
      </w:r>
      <w:r>
        <w:t xml:space="preserve"> clarify when it is appropriate to use the NA rating. They </w:t>
      </w:r>
      <w:r w:rsidR="00166BA1">
        <w:t xml:space="preserve">agreed that if the papers </w:t>
      </w:r>
      <w:r>
        <w:t>we</w:t>
      </w:r>
      <w:r w:rsidR="00166BA1">
        <w:t xml:space="preserve">re well written there would </w:t>
      </w:r>
      <w:r>
        <w:t>not be many occasions when the NA</w:t>
      </w:r>
      <w:r w:rsidR="00166BA1">
        <w:t xml:space="preserve"> would be needed.</w:t>
      </w:r>
      <w:r>
        <w:t xml:space="preserve"> </w:t>
      </w:r>
      <w:r w:rsidR="00166BA1">
        <w:t>In short</w:t>
      </w:r>
      <w:r w:rsidR="000C7DBA">
        <w:t>,</w:t>
      </w:r>
      <w:r w:rsidR="00166BA1">
        <w:t xml:space="preserve"> as noted by one rater, everyone read </w:t>
      </w:r>
      <w:r>
        <w:t>portfolio</w:t>
      </w:r>
      <w:r w:rsidR="00166BA1">
        <w:t>s in their own way but came up with roughly the same scores – “different tracks to the same solution.”</w:t>
      </w:r>
    </w:p>
    <w:p w:rsidR="00C2247B" w:rsidRDefault="00C2247B" w:rsidP="00FC3EE6"/>
    <w:p w:rsidR="00085287" w:rsidRDefault="0043353D" w:rsidP="00085287">
      <w:proofErr w:type="gramStart"/>
      <w:r w:rsidRPr="00085287">
        <w:rPr>
          <w:b/>
        </w:rPr>
        <w:lastRenderedPageBreak/>
        <w:t>Student Learning</w:t>
      </w:r>
      <w:r w:rsidR="00085287" w:rsidRPr="00085287">
        <w:rPr>
          <w:b/>
        </w:rPr>
        <w:t>.</w:t>
      </w:r>
      <w:proofErr w:type="gramEnd"/>
      <w:r w:rsidR="00085287" w:rsidRPr="00085287">
        <w:rPr>
          <w:b/>
        </w:rPr>
        <w:t xml:space="preserve"> </w:t>
      </w:r>
      <w:r w:rsidR="00085287">
        <w:t xml:space="preserve">The raters agreed that “ENGL 211C </w:t>
      </w:r>
      <w:r w:rsidR="006420A6">
        <w:t>is not meeting the goal</w:t>
      </w:r>
      <w:r w:rsidR="00085287">
        <w:t>.</w:t>
      </w:r>
      <w:r w:rsidR="006420A6">
        <w:t>”</w:t>
      </w:r>
      <w:r w:rsidR="00085287">
        <w:t xml:space="preserve"> </w:t>
      </w:r>
      <w:r w:rsidR="006420A6">
        <w:t>The focus of ENGL 221</w:t>
      </w:r>
      <w:r w:rsidR="00085287">
        <w:t>C</w:t>
      </w:r>
      <w:r w:rsidR="006420A6">
        <w:t xml:space="preserve"> on the social sciences and ENGL 231</w:t>
      </w:r>
      <w:r w:rsidR="00085287">
        <w:t>C</w:t>
      </w:r>
      <w:r w:rsidR="006420A6">
        <w:t xml:space="preserve"> on technical / scientific writing helps students to be more successful</w:t>
      </w:r>
      <w:r w:rsidR="00085287">
        <w:t xml:space="preserve"> in their writing</w:t>
      </w:r>
      <w:r w:rsidR="00D25F45">
        <w:t xml:space="preserve"> –</w:t>
      </w:r>
      <w:r w:rsidR="006420A6">
        <w:t xml:space="preserve"> perhaps ENGL 211</w:t>
      </w:r>
      <w:r w:rsidR="00085287">
        <w:t>C</w:t>
      </w:r>
      <w:r w:rsidR="006420A6">
        <w:t xml:space="preserve"> should </w:t>
      </w:r>
      <w:r w:rsidR="009860AC">
        <w:t>focus on</w:t>
      </w:r>
      <w:r w:rsidR="006420A6">
        <w:t xml:space="preserve"> the Humanities</w:t>
      </w:r>
      <w:r w:rsidR="00085287">
        <w:t>. They also thought that t</w:t>
      </w:r>
      <w:r w:rsidR="006420A6">
        <w:t>he instruction is inconsistent in ENGL 211</w:t>
      </w:r>
      <w:r w:rsidR="00085287">
        <w:t>C</w:t>
      </w:r>
      <w:r w:rsidR="006420A6">
        <w:t xml:space="preserve"> and either faculty </w:t>
      </w:r>
      <w:r w:rsidR="00085287">
        <w:t>we</w:t>
      </w:r>
      <w:r w:rsidR="006420A6">
        <w:t>re unaware o</w:t>
      </w:r>
      <w:r w:rsidR="00085287">
        <w:t>f the department guidelines or were failing to comply with them. They suggested that t</w:t>
      </w:r>
      <w:r w:rsidR="00D25F45">
        <w:t>he</w:t>
      </w:r>
      <w:r w:rsidR="006420A6">
        <w:t xml:space="preserve"> problem </w:t>
      </w:r>
      <w:r w:rsidR="00085287">
        <w:t>wa</w:t>
      </w:r>
      <w:r w:rsidR="00D25F45">
        <w:t xml:space="preserve">s </w:t>
      </w:r>
      <w:r w:rsidR="006420A6">
        <w:t>with pedagogy rather than curriculum</w:t>
      </w:r>
      <w:r w:rsidR="00085287">
        <w:t>. Finally, they posed a question for consideration, what can we learn about what faculty are doing well in ENGL 221C and 231C that we can apply in ENGL 211C?</w:t>
      </w:r>
    </w:p>
    <w:p w:rsidR="00085287" w:rsidRDefault="00085287" w:rsidP="00085287"/>
    <w:p w:rsidR="002B4733" w:rsidRDefault="00085287" w:rsidP="00085287">
      <w:r>
        <w:t>The raters also suggested that E</w:t>
      </w:r>
      <w:r w:rsidR="006420A6">
        <w:t>NGL 110</w:t>
      </w:r>
      <w:r>
        <w:t>C</w:t>
      </w:r>
      <w:r w:rsidR="006420A6">
        <w:t xml:space="preserve"> does not adequately prepare students for their ENGL 200 courses – they have not learned grammar or mastered the basic skills or learned about citing references</w:t>
      </w:r>
      <w:r w:rsidR="00EE2694">
        <w:t xml:space="preserve"> required to be successful in ENGL 200 courses</w:t>
      </w:r>
      <w:r>
        <w:t xml:space="preserve">. From what the raters read in the portfolios, they thought that </w:t>
      </w:r>
      <w:r w:rsidR="002B4733">
        <w:t>ENGL 110</w:t>
      </w:r>
      <w:r w:rsidR="00750F0E">
        <w:t>C</w:t>
      </w:r>
      <w:r w:rsidR="002B4733">
        <w:t xml:space="preserve"> seems to focus too much on making writing fun</w:t>
      </w:r>
      <w:r>
        <w:t>.</w:t>
      </w:r>
    </w:p>
    <w:p w:rsidR="00C2247B" w:rsidRDefault="00C2247B" w:rsidP="00085287"/>
    <w:p w:rsidR="000C4933" w:rsidRDefault="006B5D93" w:rsidP="00750F0E">
      <w:r>
        <w:t>When asked about strengths of the SLO along with SLO that need improvements, the raters offered several s</w:t>
      </w:r>
      <w:r w:rsidR="00750F0E">
        <w:t>uggestions for the English faculty</w:t>
      </w:r>
      <w:r>
        <w:t>. The raters thought that the requirement to teach the four SLO should be r</w:t>
      </w:r>
      <w:r w:rsidR="00750F0E">
        <w:t>einforc</w:t>
      </w:r>
      <w:r>
        <w:t xml:space="preserve">ed </w:t>
      </w:r>
      <w:r w:rsidR="007F7154">
        <w:t xml:space="preserve">with </w:t>
      </w:r>
      <w:r>
        <w:t>ENGL</w:t>
      </w:r>
      <w:r w:rsidR="002B4733">
        <w:t xml:space="preserve"> 200 level faculty</w:t>
      </w:r>
      <w:r w:rsidR="00750F0E">
        <w:t>.</w:t>
      </w:r>
      <w:r>
        <w:t xml:space="preserve"> They also observed </w:t>
      </w:r>
      <w:proofErr w:type="gramStart"/>
      <w:r>
        <w:t>that f</w:t>
      </w:r>
      <w:r w:rsidR="00EE2694">
        <w:t>aculty are</w:t>
      </w:r>
      <w:proofErr w:type="gramEnd"/>
      <w:r w:rsidR="00EE2694">
        <w:t xml:space="preserve"> h</w:t>
      </w:r>
      <w:r w:rsidR="002B4733">
        <w:t xml:space="preserve">aving difficulty focusing on SLO #2 (“recognize the core principles of argumentation…”) when </w:t>
      </w:r>
      <w:r w:rsidR="00A30F80">
        <w:t>students</w:t>
      </w:r>
      <w:r w:rsidR="002B4733">
        <w:t xml:space="preserve"> cannot write well</w:t>
      </w:r>
      <w:r w:rsidR="00A30F80">
        <w:t xml:space="preserve"> so</w:t>
      </w:r>
      <w:r w:rsidR="002B4733">
        <w:t xml:space="preserve"> faculty “have to start where they</w:t>
      </w:r>
      <w:r>
        <w:t xml:space="preserve"> (students)</w:t>
      </w:r>
      <w:r w:rsidR="002B4733">
        <w:t xml:space="preserve"> are</w:t>
      </w:r>
      <w:r>
        <w:t>.</w:t>
      </w:r>
      <w:r w:rsidR="002B4733">
        <w:t>”</w:t>
      </w:r>
      <w:r>
        <w:t xml:space="preserve"> </w:t>
      </w:r>
      <w:r w:rsidR="002B4733">
        <w:t>Regarding SLO #1 (“understand how to incorporate research responsibly…”)</w:t>
      </w:r>
      <w:r>
        <w:t xml:space="preserve"> the raters noted that students in ENGL 221C and 231C seem to use professional journals more frequently. </w:t>
      </w:r>
      <w:r w:rsidR="007F7154">
        <w:t>However, t</w:t>
      </w:r>
      <w:r>
        <w:t>hey also suggested that</w:t>
      </w:r>
      <w:r w:rsidR="002B4733">
        <w:t xml:space="preserve"> students</w:t>
      </w:r>
      <w:r>
        <w:t>’</w:t>
      </w:r>
      <w:r w:rsidR="002B4733">
        <w:t xml:space="preserve"> work needs improvement although documenting their work is an ENGL 110</w:t>
      </w:r>
      <w:r w:rsidR="00750F0E">
        <w:t>C</w:t>
      </w:r>
      <w:r w:rsidR="002B4733">
        <w:t xml:space="preserve"> SLO</w:t>
      </w:r>
      <w:r>
        <w:t xml:space="preserve">. Finally, one rater observed that </w:t>
      </w:r>
      <w:r w:rsidR="000C4933">
        <w:t>“</w:t>
      </w:r>
      <w:r>
        <w:t>f</w:t>
      </w:r>
      <w:r w:rsidR="000C4933">
        <w:t>aculty have not abdicated their responsibility” but they “have to deal with the hand they are dealt” without “many tools in their toolbox</w:t>
      </w:r>
      <w:r>
        <w:t>.</w:t>
      </w:r>
      <w:r w:rsidR="000C4933">
        <w:t>”</w:t>
      </w:r>
    </w:p>
    <w:p w:rsidR="00C2247B" w:rsidRDefault="00C2247B" w:rsidP="000C4933"/>
    <w:p w:rsidR="00C2247B" w:rsidRPr="006A77CB" w:rsidRDefault="0043353D" w:rsidP="0043353D">
      <w:proofErr w:type="gramStart"/>
      <w:r w:rsidRPr="006A77CB">
        <w:rPr>
          <w:b/>
        </w:rPr>
        <w:t>Recommendations</w:t>
      </w:r>
      <w:r w:rsidR="006A77CB">
        <w:rPr>
          <w:b/>
        </w:rPr>
        <w:t>.</w:t>
      </w:r>
      <w:proofErr w:type="gramEnd"/>
      <w:r w:rsidR="006A77CB">
        <w:rPr>
          <w:b/>
        </w:rPr>
        <w:t xml:space="preserve"> </w:t>
      </w:r>
      <w:r w:rsidR="006A77CB" w:rsidRPr="006A77CB">
        <w:t>The raters were asked to suggest what they might do differently if they taught ENGL 110C again or what they would recommend to their colleagues teaching ENGL 110C. They suggested:</w:t>
      </w:r>
    </w:p>
    <w:p w:rsidR="00BF1556" w:rsidRPr="003A3963" w:rsidRDefault="00BF1556"/>
    <w:p w:rsidR="00D651E9" w:rsidRPr="00D651E9" w:rsidRDefault="00D651E9" w:rsidP="00D651E9">
      <w:pPr>
        <w:pStyle w:val="ListParagraph"/>
        <w:numPr>
          <w:ilvl w:val="0"/>
          <w:numId w:val="21"/>
        </w:numPr>
      </w:pPr>
      <w:r w:rsidRPr="00D651E9">
        <w:t>Work with faculty to make them aware of the department guidelines and required SLO – this should not be optional.</w:t>
      </w:r>
    </w:p>
    <w:p w:rsidR="00BF1556" w:rsidRDefault="00A30F80" w:rsidP="00A30F80">
      <w:pPr>
        <w:pStyle w:val="ListParagraph"/>
        <w:numPr>
          <w:ilvl w:val="0"/>
          <w:numId w:val="21"/>
        </w:numPr>
      </w:pPr>
      <w:r>
        <w:t>Look at the SLO and structure assignments to meet them – there should be a progression / improvement in writing from the first to the last essay</w:t>
      </w:r>
      <w:r w:rsidR="006A77CB">
        <w:t>.</w:t>
      </w:r>
    </w:p>
    <w:p w:rsidR="00D651E9" w:rsidRDefault="00D651E9" w:rsidP="00D651E9">
      <w:pPr>
        <w:pStyle w:val="ListParagraph"/>
        <w:numPr>
          <w:ilvl w:val="0"/>
          <w:numId w:val="21"/>
        </w:numPr>
      </w:pPr>
      <w:r>
        <w:t>Offer faculty examples of assignments that address each SLO and give examples to students as well.</w:t>
      </w:r>
    </w:p>
    <w:p w:rsidR="00D651E9" w:rsidRPr="00D651E9" w:rsidRDefault="00D651E9" w:rsidP="00D651E9">
      <w:pPr>
        <w:pStyle w:val="ListParagraph"/>
        <w:numPr>
          <w:ilvl w:val="0"/>
          <w:numId w:val="21"/>
        </w:numPr>
      </w:pPr>
      <w:r w:rsidRPr="00D651E9">
        <w:t>The ENGL 200 course</w:t>
      </w:r>
      <w:r w:rsidR="006D5469">
        <w:t>s</w:t>
      </w:r>
      <w:r w:rsidRPr="00D651E9">
        <w:t xml:space="preserve"> seem to be too focused on the products (essays) so there is little time to focus on the mechanics – perhaps requiring too many essays (3 essays + research paper) is counter-productive.</w:t>
      </w:r>
    </w:p>
    <w:p w:rsidR="00A30F80" w:rsidRDefault="00A30F80" w:rsidP="00A30F80">
      <w:pPr>
        <w:pStyle w:val="ListParagraph"/>
        <w:numPr>
          <w:ilvl w:val="0"/>
          <w:numId w:val="21"/>
        </w:numPr>
      </w:pPr>
      <w:r>
        <w:t>Make ENGL 211</w:t>
      </w:r>
      <w:r w:rsidR="006A77CB">
        <w:t>C</w:t>
      </w:r>
      <w:r>
        <w:t xml:space="preserve"> Writing for the Humanities</w:t>
      </w:r>
      <w:r w:rsidR="006A77CB">
        <w:t>.</w:t>
      </w:r>
      <w:r w:rsidR="006D5469">
        <w:t xml:space="preserve"> </w:t>
      </w:r>
      <w:r w:rsidR="002735A7">
        <w:t>S</w:t>
      </w:r>
      <w:r>
        <w:t>tudents need / like more structure like they receive in ENGL 221</w:t>
      </w:r>
      <w:r w:rsidR="00D651E9">
        <w:t>C</w:t>
      </w:r>
      <w:r>
        <w:t xml:space="preserve"> </w:t>
      </w:r>
      <w:r w:rsidR="00D651E9">
        <w:t>and</w:t>
      </w:r>
      <w:r>
        <w:t xml:space="preserve"> 231</w:t>
      </w:r>
      <w:r w:rsidR="00D651E9">
        <w:t>C</w:t>
      </w:r>
      <w:r w:rsidR="002735A7">
        <w:t xml:space="preserve"> – more specific requirements might encourage students to work harder</w:t>
      </w:r>
      <w:r w:rsidR="006A77CB">
        <w:t>.</w:t>
      </w:r>
    </w:p>
    <w:p w:rsidR="002735A7" w:rsidRDefault="002735A7" w:rsidP="00A30F80">
      <w:pPr>
        <w:pStyle w:val="ListParagraph"/>
        <w:numPr>
          <w:ilvl w:val="0"/>
          <w:numId w:val="21"/>
        </w:numPr>
      </w:pPr>
      <w:r>
        <w:t>Ask Institutional Research to assist in studying ENGL 211</w:t>
      </w:r>
      <w:r w:rsidR="006A77CB">
        <w:t>C</w:t>
      </w:r>
      <w:r>
        <w:t xml:space="preserve"> vs</w:t>
      </w:r>
      <w:r w:rsidR="00AA4D52">
        <w:t>.</w:t>
      </w:r>
      <w:r>
        <w:t xml:space="preserve"> ENGL 221</w:t>
      </w:r>
      <w:r w:rsidR="006A77CB">
        <w:t>C and</w:t>
      </w:r>
      <w:r>
        <w:t xml:space="preserve"> 231</w:t>
      </w:r>
      <w:r w:rsidR="006A77CB">
        <w:t>C</w:t>
      </w:r>
    </w:p>
    <w:p w:rsidR="002735A7" w:rsidRDefault="002735A7" w:rsidP="002735A7">
      <w:pPr>
        <w:pStyle w:val="ListParagraph"/>
        <w:numPr>
          <w:ilvl w:val="1"/>
          <w:numId w:val="21"/>
        </w:numPr>
      </w:pPr>
      <w:r>
        <w:t>Number of declared majors in each</w:t>
      </w:r>
    </w:p>
    <w:p w:rsidR="002735A7" w:rsidRDefault="002735A7" w:rsidP="002735A7">
      <w:pPr>
        <w:pStyle w:val="ListParagraph"/>
        <w:numPr>
          <w:ilvl w:val="1"/>
          <w:numId w:val="21"/>
        </w:numPr>
      </w:pPr>
      <w:r>
        <w:t xml:space="preserve">Course grades </w:t>
      </w:r>
    </w:p>
    <w:p w:rsidR="002735A7" w:rsidRDefault="002735A7" w:rsidP="002735A7">
      <w:pPr>
        <w:pStyle w:val="ListParagraph"/>
        <w:numPr>
          <w:ilvl w:val="1"/>
          <w:numId w:val="21"/>
        </w:numPr>
      </w:pPr>
      <w:r>
        <w:t>Transfer credits / grades</w:t>
      </w:r>
    </w:p>
    <w:p w:rsidR="002735A7" w:rsidRDefault="002735A7" w:rsidP="002735A7">
      <w:pPr>
        <w:pStyle w:val="ListParagraph"/>
        <w:numPr>
          <w:ilvl w:val="1"/>
          <w:numId w:val="21"/>
        </w:numPr>
      </w:pPr>
      <w:r>
        <w:t>Class – sophomore / junior / senior</w:t>
      </w:r>
    </w:p>
    <w:p w:rsidR="00A30F80" w:rsidRDefault="00A30F80"/>
    <w:p w:rsidR="00703CA0" w:rsidRPr="00896966" w:rsidRDefault="00703CA0" w:rsidP="00703CA0">
      <w:pPr>
        <w:tabs>
          <w:tab w:val="left" w:pos="5550"/>
        </w:tabs>
        <w:jc w:val="center"/>
        <w:rPr>
          <w:b/>
          <w:sz w:val="28"/>
          <w:szCs w:val="28"/>
        </w:rPr>
      </w:pPr>
      <w:r w:rsidRPr="00896966">
        <w:rPr>
          <w:b/>
          <w:sz w:val="28"/>
          <w:szCs w:val="28"/>
        </w:rPr>
        <w:lastRenderedPageBreak/>
        <w:t>Summary and Recommendations</w:t>
      </w:r>
    </w:p>
    <w:p w:rsidR="00703CA0" w:rsidRDefault="00703CA0" w:rsidP="00703CA0"/>
    <w:p w:rsidR="00703CA0" w:rsidRDefault="00995000" w:rsidP="00703CA0">
      <w:r>
        <w:t>The raters responded well to the calibration process and proceeded to rate the 30 portfolios with only four that required a third reader. Thus, it was a rigorous calibration and a valid assessment process. Two</w:t>
      </w:r>
      <w:r w:rsidR="002F1024">
        <w:t>-thirds or</w:t>
      </w:r>
      <w:r>
        <w:t xml:space="preserve"> more of their ratings across all three courses were “Meets Standard” or “Exceeds Standard.” ENGL 231C received the lowest ratings with the highest level of “Approaches Standard” ratings. In contrast to their ratings, the raters expressed the most concern about ENGL 211C stating that it does not meet the goal. They suggested that ENGL 211C might benefit from the structure and focus of ENGL 221C and ENGL 231C.</w:t>
      </w:r>
      <w:r w:rsidR="00A10DD3">
        <w:t xml:space="preserve"> Perhaps the focus of ENGL 211C should be on the Humanities. The raters also expressed concern that </w:t>
      </w:r>
      <w:r>
        <w:t>ENGL 110C does not prepare students well for the ENGL 200 level courses.</w:t>
      </w:r>
      <w:r w:rsidR="00A10DD3">
        <w:t xml:space="preserve"> In particular they noted the problems with grammar and citations for references which are among the SLO for ENGL 110C. Two other notable recommendations of the raters include reinforcing teaching the four SLO am</w:t>
      </w:r>
      <w:r w:rsidR="002F1024">
        <w:t>ong the faculty and teaching</w:t>
      </w:r>
      <w:r w:rsidR="00A10DD3">
        <w:t xml:space="preserve"> students </w:t>
      </w:r>
      <w:r w:rsidR="002F1024">
        <w:t xml:space="preserve">from where they are in their writing skills versus where </w:t>
      </w:r>
      <w:r w:rsidR="00A10DD3">
        <w:t xml:space="preserve">we </w:t>
      </w:r>
      <w:r w:rsidR="002F1024">
        <w:t>think they should be,</w:t>
      </w:r>
      <w:r w:rsidR="00A10DD3">
        <w:t xml:space="preserve"> although that is challenging.</w:t>
      </w:r>
    </w:p>
    <w:p w:rsidR="00703CA0" w:rsidRDefault="00703CA0" w:rsidP="00703CA0"/>
    <w:p w:rsidR="00703CA0" w:rsidRDefault="00703CA0" w:rsidP="00703CA0">
      <w:r>
        <w:t xml:space="preserve">Several recommendations for </w:t>
      </w:r>
      <w:r w:rsidR="00D566C8">
        <w:t xml:space="preserve">discussion among </w:t>
      </w:r>
      <w:r>
        <w:t>the English faculty are as follows.</w:t>
      </w:r>
    </w:p>
    <w:p w:rsidR="00D651E9" w:rsidRPr="003A3963" w:rsidRDefault="00D651E9" w:rsidP="00D651E9"/>
    <w:p w:rsidR="00D651E9" w:rsidRPr="00D651E9" w:rsidRDefault="00D651E9" w:rsidP="00D651E9">
      <w:pPr>
        <w:pStyle w:val="ListParagraph"/>
        <w:numPr>
          <w:ilvl w:val="0"/>
          <w:numId w:val="21"/>
        </w:numPr>
      </w:pPr>
      <w:r w:rsidRPr="00D651E9">
        <w:t>Work with faculty to make them aware of the department guidelines and required SLO – this should not be optional.</w:t>
      </w:r>
    </w:p>
    <w:p w:rsidR="00D651E9" w:rsidRDefault="00D651E9" w:rsidP="00D651E9">
      <w:pPr>
        <w:pStyle w:val="ListParagraph"/>
        <w:numPr>
          <w:ilvl w:val="0"/>
          <w:numId w:val="21"/>
        </w:numPr>
      </w:pPr>
      <w:r>
        <w:t>Look at the SLO and structure assignments to meet them – there should be a progression / improvement in writing from the first to the last essay.</w:t>
      </w:r>
      <w:r>
        <w:t xml:space="preserve"> In addition, o</w:t>
      </w:r>
      <w:r>
        <w:t>ffer faculty examples of assignments that address each SLO and give examples to students as well.</w:t>
      </w:r>
    </w:p>
    <w:p w:rsidR="00D651E9" w:rsidRPr="00D651E9" w:rsidRDefault="00D651E9" w:rsidP="00D651E9">
      <w:pPr>
        <w:pStyle w:val="ListParagraph"/>
        <w:numPr>
          <w:ilvl w:val="0"/>
          <w:numId w:val="21"/>
        </w:numPr>
      </w:pPr>
      <w:r w:rsidRPr="00D651E9">
        <w:t>The ENGL 200 course</w:t>
      </w:r>
      <w:r>
        <w:t>s seem</w:t>
      </w:r>
      <w:r w:rsidRPr="00D651E9">
        <w:t xml:space="preserve"> to be too focused on the products (essays) so there is little time to focus on the mechanics – perhaps requiring too many essays (3 essays + research paper) is counter-productive.</w:t>
      </w:r>
    </w:p>
    <w:p w:rsidR="00D651E9" w:rsidRDefault="00D651E9" w:rsidP="00D651E9">
      <w:pPr>
        <w:pStyle w:val="ListParagraph"/>
        <w:numPr>
          <w:ilvl w:val="0"/>
          <w:numId w:val="21"/>
        </w:numPr>
      </w:pPr>
      <w:r>
        <w:t>Make ENGL 211C Writing for the Humanities.</w:t>
      </w:r>
      <w:r>
        <w:t xml:space="preserve"> </w:t>
      </w:r>
      <w:r>
        <w:t>Students need / like more structure like they receive in ENGL 221</w:t>
      </w:r>
      <w:r>
        <w:t>C and</w:t>
      </w:r>
      <w:r>
        <w:t xml:space="preserve"> 231</w:t>
      </w:r>
      <w:r>
        <w:t>C</w:t>
      </w:r>
      <w:r>
        <w:t xml:space="preserve"> – more specific requirements might encourage students to work harder.</w:t>
      </w:r>
    </w:p>
    <w:p w:rsidR="00D566C8" w:rsidRDefault="00D566C8" w:rsidP="00D651E9">
      <w:pPr>
        <w:pStyle w:val="ListParagraph"/>
        <w:numPr>
          <w:ilvl w:val="0"/>
          <w:numId w:val="21"/>
        </w:numPr>
      </w:pPr>
      <w:r>
        <w:t>Review the ENGL 110C and ENGL 200 level course SLO to make sure there is a smooth transition between the courses and the material appropriate to each one is covered in that course.</w:t>
      </w:r>
    </w:p>
    <w:p w:rsidR="00D566C8" w:rsidRDefault="00D566C8" w:rsidP="00D651E9">
      <w:pPr>
        <w:pStyle w:val="ListParagraph"/>
        <w:numPr>
          <w:ilvl w:val="0"/>
          <w:numId w:val="21"/>
        </w:numPr>
      </w:pPr>
      <w:r>
        <w:t>Work with students where they are even if they are expected to be writing at a higher level.</w:t>
      </w:r>
    </w:p>
    <w:p w:rsidR="00D651E9" w:rsidRDefault="00D651E9" w:rsidP="00D651E9">
      <w:pPr>
        <w:pStyle w:val="ListParagraph"/>
        <w:numPr>
          <w:ilvl w:val="0"/>
          <w:numId w:val="21"/>
        </w:numPr>
      </w:pPr>
      <w:r>
        <w:t>Ask Institutional Research to assist in studying ENGL 211C vs. ENGL 221C and 231C</w:t>
      </w:r>
    </w:p>
    <w:p w:rsidR="00D651E9" w:rsidRDefault="00D651E9" w:rsidP="00D651E9">
      <w:pPr>
        <w:pStyle w:val="ListParagraph"/>
        <w:numPr>
          <w:ilvl w:val="1"/>
          <w:numId w:val="21"/>
        </w:numPr>
      </w:pPr>
      <w:r>
        <w:t>Number of declared majors in each</w:t>
      </w:r>
    </w:p>
    <w:p w:rsidR="00D651E9" w:rsidRDefault="00D651E9" w:rsidP="00D651E9">
      <w:pPr>
        <w:pStyle w:val="ListParagraph"/>
        <w:numPr>
          <w:ilvl w:val="1"/>
          <w:numId w:val="21"/>
        </w:numPr>
      </w:pPr>
      <w:r>
        <w:t xml:space="preserve">Course grades </w:t>
      </w:r>
    </w:p>
    <w:p w:rsidR="00D651E9" w:rsidRDefault="00D651E9" w:rsidP="00D651E9">
      <w:pPr>
        <w:pStyle w:val="ListParagraph"/>
        <w:numPr>
          <w:ilvl w:val="1"/>
          <w:numId w:val="21"/>
        </w:numPr>
      </w:pPr>
      <w:r>
        <w:t>Transfer credits / grades</w:t>
      </w:r>
    </w:p>
    <w:p w:rsidR="00D651E9" w:rsidRDefault="00D651E9" w:rsidP="00D651E9">
      <w:pPr>
        <w:pStyle w:val="ListParagraph"/>
        <w:numPr>
          <w:ilvl w:val="1"/>
          <w:numId w:val="21"/>
        </w:numPr>
      </w:pPr>
      <w:r>
        <w:t>Class – sophomore / junior / senior</w:t>
      </w:r>
    </w:p>
    <w:p w:rsidR="00703CA0" w:rsidRDefault="00703CA0" w:rsidP="00703CA0"/>
    <w:p w:rsidR="00703CA0" w:rsidRDefault="00703CA0" w:rsidP="00703CA0">
      <w:pPr>
        <w:rPr>
          <w:b/>
        </w:rPr>
      </w:pPr>
      <w:bookmarkStart w:id="0" w:name="_GoBack"/>
      <w:bookmarkEnd w:id="0"/>
      <w:r>
        <w:rPr>
          <w:b/>
        </w:rPr>
        <w:t>Questions or More Information</w:t>
      </w:r>
    </w:p>
    <w:p w:rsidR="00703CA0" w:rsidRDefault="00703CA0" w:rsidP="00703CA0"/>
    <w:p w:rsidR="00703CA0" w:rsidRDefault="00703CA0" w:rsidP="00703CA0">
      <w:r>
        <w:t xml:space="preserve">Dr. J. </w:t>
      </w:r>
      <w:proofErr w:type="gramStart"/>
      <w:r>
        <w:t>Worth</w:t>
      </w:r>
      <w:proofErr w:type="gramEnd"/>
      <w:r>
        <w:t xml:space="preserve"> Pickering</w:t>
      </w:r>
    </w:p>
    <w:p w:rsidR="00703CA0" w:rsidRDefault="00703CA0" w:rsidP="00703CA0">
      <w:r>
        <w:t>Assistant Vice President</w:t>
      </w:r>
    </w:p>
    <w:p w:rsidR="00703CA0" w:rsidRDefault="00703CA0" w:rsidP="00703CA0">
      <w:r>
        <w:t>Office of Assessment</w:t>
      </w:r>
    </w:p>
    <w:p w:rsidR="00703CA0" w:rsidRDefault="00703CA0" w:rsidP="00703CA0">
      <w:r>
        <w:t>218 Koch Hall</w:t>
      </w:r>
    </w:p>
    <w:p w:rsidR="00703CA0" w:rsidRDefault="00703CA0" w:rsidP="00703CA0">
      <w:r>
        <w:t>757-683-3158</w:t>
      </w:r>
    </w:p>
    <w:p w:rsidR="00664E36" w:rsidRDefault="00626CF2">
      <w:hyperlink r:id="rId9" w:history="1">
        <w:r w:rsidR="00703CA0" w:rsidRPr="00362400">
          <w:rPr>
            <w:rStyle w:val="Hyperlink"/>
          </w:rPr>
          <w:t>jpickeri@odu.edu</w:t>
        </w:r>
      </w:hyperlink>
    </w:p>
    <w:p w:rsidR="00664E36" w:rsidRDefault="00664E36">
      <w:pPr>
        <w:sectPr w:rsidR="00664E36" w:rsidSect="002F7E7E">
          <w:headerReference w:type="default" r:id="rId10"/>
          <w:pgSz w:w="12240" w:h="15840"/>
          <w:pgMar w:top="1080" w:right="1440" w:bottom="1080" w:left="1440" w:header="720" w:footer="720" w:gutter="0"/>
          <w:cols w:space="720"/>
          <w:titlePg/>
          <w:docGrid w:linePitch="360"/>
        </w:sectPr>
      </w:pPr>
    </w:p>
    <w:p w:rsidR="00664E36" w:rsidRPr="00664E36" w:rsidRDefault="00664E36" w:rsidP="00664E36">
      <w:pPr>
        <w:suppressAutoHyphens/>
        <w:autoSpaceDN w:val="0"/>
        <w:jc w:val="center"/>
        <w:rPr>
          <w:rFonts w:eastAsia="Times New Roman"/>
          <w:b/>
          <w:kern w:val="3"/>
          <w:sz w:val="28"/>
          <w:szCs w:val="28"/>
        </w:rPr>
      </w:pPr>
      <w:r w:rsidRPr="00664E36">
        <w:rPr>
          <w:rFonts w:eastAsia="Times New Roman"/>
          <w:b/>
          <w:kern w:val="3"/>
          <w:sz w:val="28"/>
          <w:szCs w:val="28"/>
        </w:rPr>
        <w:lastRenderedPageBreak/>
        <w:t>ENGL 211C / ENGL 221C / ENGL 231C Rubric</w:t>
      </w:r>
    </w:p>
    <w:p w:rsidR="00664E36" w:rsidRPr="00664E36" w:rsidRDefault="00664E36" w:rsidP="00664E36">
      <w:pPr>
        <w:suppressAutoHyphens/>
        <w:autoSpaceDN w:val="0"/>
        <w:jc w:val="center"/>
        <w:rPr>
          <w:rFonts w:eastAsia="Times New Roman"/>
          <w:b/>
          <w:kern w:val="3"/>
        </w:rPr>
      </w:pPr>
    </w:p>
    <w:p w:rsidR="00664E36" w:rsidRPr="00664E36" w:rsidRDefault="00664E36" w:rsidP="00664E36">
      <w:pPr>
        <w:jc w:val="center"/>
        <w:rPr>
          <w:rFonts w:eastAsia="Times New Roman"/>
          <w:b/>
          <w:kern w:val="3"/>
          <w:sz w:val="20"/>
          <w:szCs w:val="20"/>
        </w:rPr>
      </w:pPr>
      <w:r w:rsidRPr="00664E36">
        <w:rPr>
          <w:rFonts w:eastAsia="Times New Roman"/>
          <w:b/>
          <w:kern w:val="3"/>
          <w:sz w:val="20"/>
          <w:szCs w:val="20"/>
        </w:rPr>
        <w:t>Note: Raters are encouraged to assign a zero to any paper or collection of papers that does not meet the minimum criterion of “Needs Attention”</w:t>
      </w:r>
    </w:p>
    <w:p w:rsidR="00664E36" w:rsidRPr="00664E36" w:rsidRDefault="00664E36" w:rsidP="00664E36">
      <w:pPr>
        <w:jc w:val="center"/>
        <w:rPr>
          <w:rFonts w:eastAsia="Times New Roman"/>
          <w:b/>
          <w:kern w:val="3"/>
          <w:sz w:val="20"/>
          <w:szCs w:val="20"/>
        </w:rPr>
      </w:pPr>
      <w:r w:rsidRPr="00664E36">
        <w:rPr>
          <w:rFonts w:eastAsia="Times New Roman"/>
          <w:b/>
          <w:kern w:val="3"/>
          <w:sz w:val="20"/>
          <w:szCs w:val="20"/>
        </w:rPr>
        <w:t>OR does not address the student learning outcome</w:t>
      </w:r>
    </w:p>
    <w:p w:rsidR="00664E36" w:rsidRPr="00664E36" w:rsidRDefault="00664E36" w:rsidP="00664E36">
      <w:pPr>
        <w:suppressAutoHyphens/>
        <w:autoSpaceDN w:val="0"/>
        <w:jc w:val="center"/>
        <w:rPr>
          <w:rFonts w:ascii="Garamond" w:eastAsia="Times New Roman" w:hAnsi="Garamond"/>
          <w:kern w:val="3"/>
          <w:lang w:val="ru-RU"/>
        </w:rPr>
      </w:pPr>
    </w:p>
    <w:tbl>
      <w:tblPr>
        <w:tblW w:w="0" w:type="auto"/>
        <w:tblInd w:w="45" w:type="dxa"/>
        <w:tblCellMar>
          <w:left w:w="10" w:type="dxa"/>
          <w:right w:w="10" w:type="dxa"/>
        </w:tblCellMar>
        <w:tblLook w:val="04A0" w:firstRow="1" w:lastRow="0" w:firstColumn="1" w:lastColumn="0" w:noHBand="0" w:noVBand="1"/>
      </w:tblPr>
      <w:tblGrid>
        <w:gridCol w:w="2775"/>
        <w:gridCol w:w="3639"/>
        <w:gridCol w:w="2600"/>
        <w:gridCol w:w="2801"/>
        <w:gridCol w:w="2650"/>
      </w:tblGrid>
      <w:tr w:rsidR="00664E36" w:rsidRPr="00664E36" w:rsidTr="00BF0663">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b/>
                <w:bCs/>
                <w:kern w:val="3"/>
                <w:sz w:val="20"/>
                <w:szCs w:val="20"/>
              </w:rPr>
            </w:pPr>
            <w:r w:rsidRPr="00664E36">
              <w:rPr>
                <w:rFonts w:eastAsia="Times New Roman"/>
                <w:b/>
                <w:bCs/>
                <w:kern w:val="3"/>
                <w:sz w:val="20"/>
                <w:szCs w:val="20"/>
              </w:rPr>
              <w:t>Upon completing the second-year 200-level writing skills course, students will be able to:</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64E36" w:rsidRPr="00664E36" w:rsidRDefault="00664E36" w:rsidP="00664E36">
            <w:pPr>
              <w:suppressAutoHyphens/>
              <w:autoSpaceDN w:val="0"/>
              <w:jc w:val="center"/>
              <w:rPr>
                <w:rFonts w:eastAsia="Times New Roman"/>
                <w:b/>
                <w:bCs/>
                <w:kern w:val="3"/>
                <w:sz w:val="20"/>
                <w:szCs w:val="20"/>
              </w:rPr>
            </w:pPr>
            <w:r w:rsidRPr="00664E36">
              <w:rPr>
                <w:rFonts w:eastAsia="Times New Roman"/>
                <w:b/>
                <w:bCs/>
                <w:kern w:val="3"/>
                <w:sz w:val="20"/>
                <w:szCs w:val="20"/>
              </w:rPr>
              <w:t>Exceeds Standard</w:t>
            </w:r>
          </w:p>
          <w:p w:rsidR="00664E36" w:rsidRPr="00664E36" w:rsidRDefault="00664E36" w:rsidP="00664E36">
            <w:pPr>
              <w:suppressAutoHyphens/>
              <w:autoSpaceDN w:val="0"/>
              <w:jc w:val="center"/>
              <w:rPr>
                <w:rFonts w:eastAsia="Times New Roman"/>
                <w:kern w:val="3"/>
                <w:sz w:val="20"/>
                <w:szCs w:val="20"/>
                <w:lang w:val="ru-RU"/>
              </w:rPr>
            </w:pPr>
            <w:r w:rsidRPr="00664E36">
              <w:rPr>
                <w:rFonts w:eastAsia="Times New Roman"/>
                <w:kern w:val="3"/>
                <w:sz w:val="20"/>
                <w:szCs w:val="20"/>
                <w:lang w:val="ru-RU"/>
              </w:rPr>
              <w:t>4</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64E36" w:rsidRPr="00664E36" w:rsidRDefault="00664E36" w:rsidP="00664E36">
            <w:pPr>
              <w:suppressAutoHyphens/>
              <w:autoSpaceDN w:val="0"/>
              <w:jc w:val="center"/>
              <w:rPr>
                <w:rFonts w:eastAsia="Times New Roman"/>
                <w:b/>
                <w:bCs/>
                <w:kern w:val="3"/>
                <w:sz w:val="20"/>
                <w:szCs w:val="20"/>
              </w:rPr>
            </w:pPr>
            <w:r w:rsidRPr="00664E36">
              <w:rPr>
                <w:rFonts w:eastAsia="Times New Roman"/>
                <w:b/>
                <w:bCs/>
                <w:kern w:val="3"/>
                <w:sz w:val="20"/>
                <w:szCs w:val="20"/>
              </w:rPr>
              <w:t>Meets Standard</w:t>
            </w:r>
          </w:p>
          <w:p w:rsidR="00664E36" w:rsidRPr="00664E36" w:rsidRDefault="00664E36" w:rsidP="00664E36">
            <w:pPr>
              <w:suppressAutoHyphens/>
              <w:autoSpaceDN w:val="0"/>
              <w:jc w:val="center"/>
              <w:rPr>
                <w:rFonts w:eastAsia="Times New Roman"/>
                <w:bCs/>
                <w:kern w:val="3"/>
                <w:sz w:val="20"/>
                <w:szCs w:val="20"/>
              </w:rPr>
            </w:pPr>
            <w:r w:rsidRPr="00664E36">
              <w:rPr>
                <w:rFonts w:eastAsia="Times New Roman"/>
                <w:bCs/>
                <w:kern w:val="3"/>
                <w:sz w:val="20"/>
                <w:szCs w:val="20"/>
              </w:rPr>
              <w:t>3</w:t>
            </w:r>
          </w:p>
        </w:tc>
        <w:tc>
          <w:tcPr>
            <w:tcW w:w="0" w:type="auto"/>
            <w:tcBorders>
              <w:top w:val="single" w:sz="2" w:space="0" w:color="000000"/>
              <w:left w:val="single" w:sz="2" w:space="0" w:color="000000"/>
              <w:bottom w:val="single" w:sz="2" w:space="0" w:color="000000"/>
              <w:right w:val="nil"/>
            </w:tcBorders>
          </w:tcPr>
          <w:p w:rsidR="00664E36" w:rsidRPr="00664E36" w:rsidRDefault="00664E36" w:rsidP="00664E36">
            <w:pPr>
              <w:suppressAutoHyphens/>
              <w:autoSpaceDN w:val="0"/>
              <w:jc w:val="center"/>
              <w:rPr>
                <w:rFonts w:eastAsia="Times New Roman"/>
                <w:b/>
                <w:kern w:val="3"/>
                <w:sz w:val="20"/>
                <w:szCs w:val="20"/>
              </w:rPr>
            </w:pPr>
            <w:r w:rsidRPr="00664E36">
              <w:rPr>
                <w:rFonts w:eastAsia="Times New Roman"/>
                <w:b/>
                <w:kern w:val="3"/>
                <w:sz w:val="20"/>
                <w:szCs w:val="20"/>
              </w:rPr>
              <w:t xml:space="preserve"> Approaches Standard</w:t>
            </w:r>
          </w:p>
          <w:p w:rsidR="00664E36" w:rsidRPr="00664E36" w:rsidRDefault="00664E36" w:rsidP="00664E36">
            <w:pPr>
              <w:suppressAutoHyphens/>
              <w:autoSpaceDN w:val="0"/>
              <w:jc w:val="center"/>
              <w:rPr>
                <w:rFonts w:eastAsia="Times New Roman"/>
                <w:kern w:val="3"/>
                <w:sz w:val="20"/>
                <w:szCs w:val="20"/>
                <w:lang w:val="ru-RU"/>
              </w:rPr>
            </w:pPr>
            <w:r w:rsidRPr="00664E36">
              <w:rPr>
                <w:rFonts w:eastAsia="Times New Roman"/>
                <w:kern w:val="3"/>
                <w:sz w:val="20"/>
                <w:szCs w:val="20"/>
                <w:lang w:val="ru-RU"/>
              </w:rPr>
              <w:t>2</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64E36" w:rsidRPr="00664E36" w:rsidRDefault="00664E36" w:rsidP="00664E36">
            <w:pPr>
              <w:suppressAutoHyphens/>
              <w:autoSpaceDN w:val="0"/>
              <w:jc w:val="center"/>
              <w:rPr>
                <w:rFonts w:eastAsia="Times New Roman"/>
                <w:b/>
                <w:bCs/>
                <w:kern w:val="3"/>
                <w:sz w:val="20"/>
                <w:szCs w:val="20"/>
              </w:rPr>
            </w:pPr>
            <w:r w:rsidRPr="00664E36">
              <w:rPr>
                <w:rFonts w:eastAsia="Times New Roman"/>
                <w:b/>
                <w:bCs/>
                <w:kern w:val="3"/>
                <w:sz w:val="20"/>
                <w:szCs w:val="20"/>
              </w:rPr>
              <w:t>Needs Attention</w:t>
            </w:r>
          </w:p>
          <w:p w:rsidR="00664E36" w:rsidRPr="00664E36" w:rsidRDefault="00664E36" w:rsidP="00664E36">
            <w:pPr>
              <w:suppressAutoHyphens/>
              <w:autoSpaceDN w:val="0"/>
              <w:jc w:val="center"/>
              <w:rPr>
                <w:rFonts w:eastAsia="Times New Roman"/>
                <w:kern w:val="3"/>
                <w:sz w:val="20"/>
                <w:szCs w:val="20"/>
                <w:lang w:val="ru-RU"/>
              </w:rPr>
            </w:pPr>
            <w:r w:rsidRPr="00664E36">
              <w:rPr>
                <w:rFonts w:eastAsia="Times New Roman"/>
                <w:kern w:val="3"/>
                <w:sz w:val="20"/>
                <w:szCs w:val="20"/>
                <w:lang w:val="ru-RU"/>
              </w:rPr>
              <w:t>1</w:t>
            </w:r>
          </w:p>
        </w:tc>
      </w:tr>
      <w:tr w:rsidR="00664E36" w:rsidRPr="00664E36" w:rsidTr="00BF0663">
        <w:trPr>
          <w:trHeight w:val="1803"/>
        </w:trPr>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widowControl w:val="0"/>
              <w:numPr>
                <w:ilvl w:val="0"/>
                <w:numId w:val="29"/>
              </w:numPr>
              <w:suppressAutoHyphens/>
              <w:autoSpaceDN w:val="0"/>
              <w:contextualSpacing/>
              <w:rPr>
                <w:rFonts w:eastAsia="Tahoma" w:cs="Tahoma"/>
                <w:b/>
                <w:i/>
                <w:kern w:val="3"/>
                <w:sz w:val="20"/>
                <w:szCs w:val="20"/>
              </w:rPr>
            </w:pPr>
            <w:proofErr w:type="gramStart"/>
            <w:r w:rsidRPr="00664E36">
              <w:rPr>
                <w:rFonts w:eastAsia="Tahoma" w:cs="Tahoma"/>
                <w:b/>
                <w:i/>
                <w:kern w:val="3"/>
                <w:sz w:val="20"/>
                <w:szCs w:val="20"/>
              </w:rPr>
              <w:t>understand</w:t>
            </w:r>
            <w:proofErr w:type="gramEnd"/>
            <w:r w:rsidRPr="00664E36">
              <w:rPr>
                <w:rFonts w:eastAsia="Tahoma" w:cs="Tahoma"/>
                <w:b/>
                <w:i/>
                <w:kern w:val="3"/>
                <w:sz w:val="20"/>
                <w:szCs w:val="20"/>
              </w:rPr>
              <w:t xml:space="preserve"> how to incorporate research responsibly and effectively into an extended piece of writing.</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widowControl w:val="0"/>
              <w:suppressAutoHyphens/>
              <w:autoSpaceDN w:val="0"/>
              <w:rPr>
                <w:rFonts w:eastAsia="Tahoma" w:cs="Tahoma"/>
                <w:kern w:val="3"/>
                <w:sz w:val="20"/>
                <w:szCs w:val="20"/>
              </w:rPr>
            </w:pPr>
            <w:r w:rsidRPr="00664E36">
              <w:rPr>
                <w:rFonts w:eastAsia="Tahoma" w:cs="Tahoma"/>
                <w:kern w:val="3"/>
                <w:sz w:val="20"/>
                <w:szCs w:val="20"/>
              </w:rPr>
              <w:t xml:space="preserve">Demonstrates </w:t>
            </w:r>
            <w:r w:rsidRPr="00664E36">
              <w:rPr>
                <w:rFonts w:eastAsia="Tahoma" w:cs="Tahoma"/>
                <w:b/>
                <w:kern w:val="3"/>
                <w:sz w:val="20"/>
                <w:szCs w:val="20"/>
              </w:rPr>
              <w:t>skillful use</w:t>
            </w:r>
            <w:r w:rsidRPr="00664E36">
              <w:rPr>
                <w:rFonts w:eastAsia="Tahoma" w:cs="Tahoma"/>
                <w:kern w:val="3"/>
                <w:sz w:val="20"/>
                <w:szCs w:val="20"/>
              </w:rPr>
              <w:t xml:space="preserve"> of high-quality, credible, relevant sources to develop ideas and </w:t>
            </w:r>
            <w:r w:rsidRPr="00664E36">
              <w:rPr>
                <w:rFonts w:eastAsia="Tahoma" w:cs="Tahoma"/>
                <w:b/>
                <w:kern w:val="3"/>
                <w:sz w:val="20"/>
                <w:szCs w:val="20"/>
              </w:rPr>
              <w:t>organizes and synthesizes</w:t>
            </w:r>
            <w:r w:rsidRPr="00664E36">
              <w:rPr>
                <w:rFonts w:eastAsia="Tahoma" w:cs="Tahoma"/>
                <w:kern w:val="3"/>
                <w:sz w:val="20"/>
                <w:szCs w:val="20"/>
              </w:rPr>
              <w:t xml:space="preserve"> evidence to reveal insightful patterns, differences, or similarities related to focus.</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widowControl w:val="0"/>
              <w:suppressAutoHyphens/>
              <w:autoSpaceDN w:val="0"/>
              <w:rPr>
                <w:rFonts w:eastAsia="Tahoma" w:cs="Tahoma"/>
                <w:kern w:val="3"/>
                <w:sz w:val="20"/>
                <w:szCs w:val="20"/>
              </w:rPr>
            </w:pPr>
            <w:r w:rsidRPr="00664E36">
              <w:rPr>
                <w:rFonts w:eastAsia="Tahoma" w:cs="Tahoma"/>
                <w:kern w:val="3"/>
                <w:sz w:val="20"/>
                <w:szCs w:val="20"/>
              </w:rPr>
              <w:t xml:space="preserve">Demonstrates </w:t>
            </w:r>
            <w:r w:rsidRPr="00664E36">
              <w:rPr>
                <w:rFonts w:eastAsia="Tahoma" w:cs="Tahoma"/>
                <w:b/>
                <w:kern w:val="3"/>
                <w:sz w:val="20"/>
                <w:szCs w:val="20"/>
              </w:rPr>
              <w:t>consistent use</w:t>
            </w:r>
            <w:r w:rsidRPr="00664E36">
              <w:rPr>
                <w:rFonts w:eastAsia="Tahoma" w:cs="Tahoma"/>
                <w:kern w:val="3"/>
                <w:sz w:val="20"/>
                <w:szCs w:val="20"/>
              </w:rPr>
              <w:t xml:space="preserve"> of credible, relevant sources to support ideas and </w:t>
            </w:r>
            <w:r w:rsidRPr="00664E36">
              <w:rPr>
                <w:rFonts w:eastAsia="Tahoma" w:cs="Tahoma"/>
                <w:b/>
                <w:kern w:val="3"/>
                <w:sz w:val="20"/>
                <w:szCs w:val="20"/>
              </w:rPr>
              <w:t>organizes evidence</w:t>
            </w:r>
            <w:r w:rsidRPr="00664E36">
              <w:rPr>
                <w:rFonts w:eastAsia="Tahoma" w:cs="Tahoma"/>
                <w:kern w:val="3"/>
                <w:sz w:val="20"/>
                <w:szCs w:val="20"/>
              </w:rPr>
              <w:t xml:space="preserve"> to reveal important patterns, differences, or similarities related to focus.</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widowControl w:val="0"/>
              <w:suppressAutoHyphens/>
              <w:autoSpaceDN w:val="0"/>
              <w:rPr>
                <w:rFonts w:eastAsia="Tahoma" w:cs="Tahoma"/>
                <w:kern w:val="3"/>
                <w:sz w:val="20"/>
                <w:szCs w:val="20"/>
              </w:rPr>
            </w:pPr>
            <w:r w:rsidRPr="00664E36">
              <w:rPr>
                <w:rFonts w:eastAsia="Tahoma" w:cs="Tahoma"/>
                <w:kern w:val="3"/>
                <w:sz w:val="20"/>
                <w:szCs w:val="20"/>
              </w:rPr>
              <w:t xml:space="preserve">Demonstrates an </w:t>
            </w:r>
            <w:r w:rsidRPr="00664E36">
              <w:rPr>
                <w:rFonts w:eastAsia="Tahoma" w:cs="Tahoma"/>
                <w:b/>
                <w:kern w:val="3"/>
                <w:sz w:val="20"/>
                <w:szCs w:val="20"/>
              </w:rPr>
              <w:t>attempt to use</w:t>
            </w:r>
            <w:r w:rsidRPr="00664E36">
              <w:rPr>
                <w:rFonts w:eastAsia="Tahoma" w:cs="Tahoma"/>
                <w:kern w:val="3"/>
                <w:sz w:val="20"/>
                <w:szCs w:val="20"/>
              </w:rPr>
              <w:t xml:space="preserve"> credible and/or relevant sources to support ideas and organizes evidence, but the </w:t>
            </w:r>
            <w:r w:rsidRPr="00664E36">
              <w:rPr>
                <w:rFonts w:eastAsia="Tahoma" w:cs="Tahoma"/>
                <w:b/>
                <w:kern w:val="3"/>
                <w:sz w:val="20"/>
                <w:szCs w:val="20"/>
              </w:rPr>
              <w:t>organization is not effective</w:t>
            </w:r>
            <w:r w:rsidRPr="00664E36">
              <w:rPr>
                <w:rFonts w:eastAsia="Tahoma" w:cs="Tahoma"/>
                <w:kern w:val="3"/>
                <w:sz w:val="20"/>
                <w:szCs w:val="20"/>
              </w:rPr>
              <w:t xml:space="preserve"> in revealing important patterns, differences, or similarities.</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4E36" w:rsidRPr="00664E36" w:rsidRDefault="00664E36" w:rsidP="00664E36">
            <w:pPr>
              <w:widowControl w:val="0"/>
              <w:suppressAutoHyphens/>
              <w:autoSpaceDN w:val="0"/>
              <w:rPr>
                <w:rFonts w:eastAsia="Tahoma" w:cs="Tahoma"/>
                <w:kern w:val="3"/>
                <w:sz w:val="20"/>
                <w:szCs w:val="20"/>
              </w:rPr>
            </w:pPr>
            <w:r w:rsidRPr="00664E36">
              <w:rPr>
                <w:rFonts w:eastAsia="Tahoma" w:cs="Tahoma"/>
                <w:b/>
                <w:kern w:val="3"/>
                <w:sz w:val="20"/>
                <w:szCs w:val="20"/>
              </w:rPr>
              <w:t>Fails to use</w:t>
            </w:r>
            <w:r w:rsidRPr="00664E36">
              <w:rPr>
                <w:rFonts w:eastAsia="Tahoma" w:cs="Tahoma"/>
                <w:kern w:val="3"/>
                <w:sz w:val="20"/>
                <w:szCs w:val="20"/>
              </w:rPr>
              <w:t xml:space="preserve"> sources to support ideas in the writing and lists evidence, but it is </w:t>
            </w:r>
            <w:r w:rsidRPr="00664E36">
              <w:rPr>
                <w:rFonts w:eastAsia="Tahoma" w:cs="Tahoma"/>
                <w:b/>
                <w:kern w:val="3"/>
                <w:sz w:val="20"/>
                <w:szCs w:val="20"/>
              </w:rPr>
              <w:t>not organized</w:t>
            </w:r>
            <w:r w:rsidRPr="00664E36">
              <w:rPr>
                <w:rFonts w:eastAsia="Tahoma" w:cs="Tahoma"/>
                <w:kern w:val="3"/>
                <w:sz w:val="20"/>
                <w:szCs w:val="20"/>
              </w:rPr>
              <w:t xml:space="preserve"> and/or is unrelated to focus.</w:t>
            </w:r>
          </w:p>
        </w:tc>
      </w:tr>
      <w:tr w:rsidR="00664E36" w:rsidRPr="00664E36" w:rsidTr="00BF0663">
        <w:trPr>
          <w:trHeight w:val="1920"/>
        </w:trPr>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widowControl w:val="0"/>
              <w:numPr>
                <w:ilvl w:val="0"/>
                <w:numId w:val="29"/>
              </w:numPr>
              <w:suppressAutoHyphens/>
              <w:autoSpaceDN w:val="0"/>
              <w:rPr>
                <w:rFonts w:eastAsia="Times New Roman"/>
                <w:b/>
                <w:bCs/>
                <w:i/>
                <w:kern w:val="3"/>
                <w:sz w:val="20"/>
                <w:szCs w:val="20"/>
              </w:rPr>
            </w:pPr>
            <w:proofErr w:type="gramStart"/>
            <w:r w:rsidRPr="00664E36">
              <w:rPr>
                <w:rFonts w:eastAsia="Times New Roman"/>
                <w:b/>
                <w:bCs/>
                <w:i/>
                <w:kern w:val="3"/>
                <w:sz w:val="20"/>
                <w:szCs w:val="20"/>
              </w:rPr>
              <w:t>recognize</w:t>
            </w:r>
            <w:proofErr w:type="gramEnd"/>
            <w:r w:rsidRPr="00664E36">
              <w:rPr>
                <w:rFonts w:eastAsia="Times New Roman"/>
                <w:b/>
                <w:bCs/>
                <w:i/>
                <w:kern w:val="3"/>
                <w:sz w:val="20"/>
                <w:szCs w:val="20"/>
              </w:rPr>
              <w:t xml:space="preserve"> the core principles of argumentation, including proper use of assumptions, claims, emotion, &amp; reason, as well as identification of logical fallacies, biases, &amp; propaganda.</w:t>
            </w:r>
          </w:p>
          <w:p w:rsidR="00664E36" w:rsidRPr="00664E36" w:rsidRDefault="00664E36" w:rsidP="00664E36">
            <w:pPr>
              <w:suppressAutoHyphens/>
              <w:autoSpaceDN w:val="0"/>
              <w:rPr>
                <w:rFonts w:eastAsia="Times New Roman"/>
                <w:iCs/>
                <w:kern w:val="3"/>
                <w:sz w:val="20"/>
                <w:szCs w:val="20"/>
              </w:rPr>
            </w:pP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Clearly and thoroughly applies</w:t>
            </w:r>
            <w:r w:rsidRPr="00664E36">
              <w:rPr>
                <w:rFonts w:eastAsia="Times New Roman"/>
                <w:kern w:val="3"/>
                <w:sz w:val="20"/>
                <w:szCs w:val="20"/>
              </w:rPr>
              <w:t xml:space="preserve"> the core principles of argumentation, </w:t>
            </w:r>
            <w:r w:rsidRPr="00664E36">
              <w:rPr>
                <w:rFonts w:eastAsia="Times New Roman"/>
                <w:bCs/>
                <w:kern w:val="3"/>
                <w:sz w:val="20"/>
                <w:szCs w:val="20"/>
              </w:rPr>
              <w:t>including proper use of assumptions, claims, emotion, &amp; reason, as well as identification of logical fallacies, biases, &amp; propaganda.</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Applies</w:t>
            </w:r>
            <w:r w:rsidRPr="00664E36">
              <w:rPr>
                <w:rFonts w:eastAsia="Times New Roman"/>
                <w:kern w:val="3"/>
                <w:sz w:val="20"/>
                <w:szCs w:val="20"/>
              </w:rPr>
              <w:t xml:space="preserve"> the core principles of argumentation, </w:t>
            </w:r>
            <w:r w:rsidRPr="00664E36">
              <w:rPr>
                <w:rFonts w:eastAsia="Times New Roman"/>
                <w:bCs/>
                <w:kern w:val="3"/>
                <w:sz w:val="20"/>
                <w:szCs w:val="20"/>
              </w:rPr>
              <w:t>including proper use of assumptions, claims, emotion, &amp; reason, as well as identification of logical fallacies, biases, &amp; propaganda.</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Attempts to apply</w:t>
            </w:r>
            <w:r w:rsidRPr="00664E36">
              <w:rPr>
                <w:rFonts w:eastAsia="Times New Roman"/>
                <w:kern w:val="3"/>
                <w:sz w:val="20"/>
                <w:szCs w:val="20"/>
              </w:rPr>
              <w:t xml:space="preserve"> the core principles of argumentation, </w:t>
            </w:r>
            <w:r w:rsidRPr="00664E36">
              <w:rPr>
                <w:rFonts w:eastAsia="Times New Roman"/>
                <w:bCs/>
                <w:kern w:val="3"/>
                <w:sz w:val="20"/>
                <w:szCs w:val="20"/>
              </w:rPr>
              <w:t>including proper use of assumptions, claims, emotion, &amp; reason, as well as identification of logical fallacies, biases, &amp; propaganda.</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Fails to apply</w:t>
            </w:r>
            <w:r w:rsidRPr="00664E36">
              <w:rPr>
                <w:rFonts w:eastAsia="Times New Roman"/>
                <w:kern w:val="3"/>
                <w:sz w:val="20"/>
                <w:szCs w:val="20"/>
              </w:rPr>
              <w:t xml:space="preserve"> the core principles of argumentation, </w:t>
            </w:r>
            <w:r w:rsidRPr="00664E36">
              <w:rPr>
                <w:rFonts w:eastAsia="Times New Roman"/>
                <w:bCs/>
                <w:kern w:val="3"/>
                <w:sz w:val="20"/>
                <w:szCs w:val="20"/>
              </w:rPr>
              <w:t>including proper use of assumptions, claims, emotion, &amp; reason, as well as identification of logical fallacies, biases, &amp; propaganda.</w:t>
            </w:r>
          </w:p>
        </w:tc>
      </w:tr>
      <w:tr w:rsidR="00664E36" w:rsidRPr="00664E36" w:rsidTr="00BF0663">
        <w:trPr>
          <w:trHeight w:val="2037"/>
        </w:trPr>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64E36" w:rsidRPr="00664E36" w:rsidRDefault="00664E36" w:rsidP="00664E36">
            <w:pPr>
              <w:widowControl w:val="0"/>
              <w:numPr>
                <w:ilvl w:val="0"/>
                <w:numId w:val="29"/>
              </w:numPr>
              <w:suppressAutoHyphens/>
              <w:autoSpaceDN w:val="0"/>
              <w:rPr>
                <w:rFonts w:eastAsia="Times New Roman"/>
                <w:b/>
                <w:bCs/>
                <w:i/>
                <w:kern w:val="3"/>
                <w:sz w:val="20"/>
                <w:szCs w:val="20"/>
              </w:rPr>
            </w:pPr>
            <w:proofErr w:type="gramStart"/>
            <w:r w:rsidRPr="00664E36">
              <w:rPr>
                <w:rFonts w:eastAsia="Times New Roman"/>
                <w:b/>
                <w:bCs/>
                <w:i/>
                <w:kern w:val="3"/>
                <w:sz w:val="20"/>
                <w:szCs w:val="20"/>
              </w:rPr>
              <w:t>develop</w:t>
            </w:r>
            <w:proofErr w:type="gramEnd"/>
            <w:r w:rsidRPr="00664E36">
              <w:rPr>
                <w:rFonts w:eastAsia="Times New Roman"/>
                <w:b/>
                <w:bCs/>
                <w:i/>
                <w:kern w:val="3"/>
                <w:sz w:val="20"/>
                <w:szCs w:val="20"/>
              </w:rPr>
              <w:t xml:space="preserve"> a repertoire of effective and ethical rhetorical tools for academic and professional writing tasks.</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64E36" w:rsidRPr="00664E36" w:rsidRDefault="00664E36" w:rsidP="00664E36">
            <w:pPr>
              <w:suppressAutoHyphens/>
              <w:autoSpaceDN w:val="0"/>
              <w:rPr>
                <w:rFonts w:eastAsia="Times New Roman"/>
                <w:kern w:val="3"/>
                <w:sz w:val="20"/>
                <w:szCs w:val="20"/>
              </w:rPr>
            </w:pPr>
            <w:r w:rsidRPr="00664E36">
              <w:rPr>
                <w:rFonts w:eastAsia="Times New Roman"/>
                <w:kern w:val="3"/>
                <w:sz w:val="20"/>
                <w:szCs w:val="20"/>
                <w:lang w:val="ru-RU"/>
              </w:rPr>
              <w:t xml:space="preserve">Demonstrates </w:t>
            </w:r>
            <w:r w:rsidRPr="00664E36">
              <w:rPr>
                <w:rFonts w:eastAsia="Times New Roman"/>
                <w:b/>
                <w:kern w:val="3"/>
                <w:sz w:val="20"/>
                <w:szCs w:val="20"/>
                <w:lang w:val="ru-RU"/>
              </w:rPr>
              <w:t>detailed attention to and successful execution of</w:t>
            </w:r>
            <w:r w:rsidRPr="00664E36">
              <w:rPr>
                <w:rFonts w:eastAsia="Times New Roman"/>
                <w:kern w:val="3"/>
                <w:sz w:val="20"/>
                <w:szCs w:val="20"/>
                <w:lang w:val="ru-RU"/>
              </w:rPr>
              <w:t xml:space="preserve"> a wide range of conventions particular to a specific discipline and/or writing task (s) including  organization, content, presentation, formatting, and stylistic choices</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lang w:val="ru-RU"/>
              </w:rPr>
            </w:pPr>
            <w:r w:rsidRPr="00664E36">
              <w:rPr>
                <w:rFonts w:eastAsia="Times New Roman"/>
                <w:kern w:val="3"/>
                <w:sz w:val="20"/>
                <w:szCs w:val="20"/>
                <w:lang w:val="ru-RU"/>
              </w:rPr>
              <w:t xml:space="preserve">Demonstrates </w:t>
            </w:r>
            <w:r w:rsidRPr="00664E36">
              <w:rPr>
                <w:rFonts w:eastAsia="Times New Roman"/>
                <w:b/>
                <w:kern w:val="3"/>
                <w:sz w:val="20"/>
                <w:szCs w:val="20"/>
                <w:lang w:val="ru-RU"/>
              </w:rPr>
              <w:t>consistent use of</w:t>
            </w:r>
            <w:r w:rsidRPr="00664E36">
              <w:rPr>
                <w:rFonts w:eastAsia="Times New Roman"/>
                <w:kern w:val="3"/>
                <w:sz w:val="20"/>
                <w:szCs w:val="20"/>
                <w:lang w:val="ru-RU"/>
              </w:rPr>
              <w:t xml:space="preserve"> important conventions particular to a specific discipline and/or writing task(s), including organization, content, presentation, and stylistic choices</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64E36" w:rsidRPr="00664E36" w:rsidRDefault="00664E36" w:rsidP="00664E36">
            <w:pPr>
              <w:suppressAutoHyphens/>
              <w:autoSpaceDN w:val="0"/>
              <w:rPr>
                <w:rFonts w:eastAsia="Times New Roman"/>
                <w:kern w:val="3"/>
                <w:sz w:val="20"/>
                <w:szCs w:val="20"/>
                <w:lang w:val="ru-RU"/>
              </w:rPr>
            </w:pPr>
            <w:r w:rsidRPr="00664E36">
              <w:rPr>
                <w:rFonts w:eastAsia="Times New Roman"/>
                <w:kern w:val="3"/>
                <w:sz w:val="20"/>
                <w:szCs w:val="20"/>
              </w:rPr>
              <w:t>Attempts to</w:t>
            </w:r>
            <w:r w:rsidRPr="00664E36">
              <w:rPr>
                <w:rFonts w:eastAsia="Times New Roman"/>
                <w:b/>
                <w:kern w:val="3"/>
                <w:sz w:val="20"/>
                <w:szCs w:val="20"/>
              </w:rPr>
              <w:t xml:space="preserve"> f</w:t>
            </w:r>
            <w:r w:rsidRPr="00664E36">
              <w:rPr>
                <w:rFonts w:eastAsia="Times New Roman"/>
                <w:b/>
                <w:kern w:val="3"/>
                <w:sz w:val="20"/>
                <w:szCs w:val="20"/>
                <w:lang w:val="ru-RU"/>
              </w:rPr>
              <w:t>ollow expectations</w:t>
            </w:r>
            <w:r w:rsidRPr="00664E36">
              <w:rPr>
                <w:rFonts w:eastAsia="Times New Roman"/>
                <w:kern w:val="3"/>
                <w:sz w:val="20"/>
                <w:szCs w:val="20"/>
                <w:lang w:val="ru-RU"/>
              </w:rPr>
              <w:t xml:space="preserve"> appropriate to a specific discipline and/or writing task(s) for basic organization, content, and presentation, and stylistic choices</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 xml:space="preserve">Fails to </w:t>
            </w:r>
            <w:r w:rsidRPr="00664E36">
              <w:rPr>
                <w:rFonts w:eastAsia="Times New Roman"/>
                <w:b/>
                <w:kern w:val="3"/>
                <w:sz w:val="20"/>
                <w:szCs w:val="20"/>
                <w:lang w:val="ru-RU"/>
              </w:rPr>
              <w:t>to use</w:t>
            </w:r>
            <w:r w:rsidRPr="00664E36">
              <w:rPr>
                <w:rFonts w:eastAsia="Times New Roman"/>
                <w:kern w:val="3"/>
                <w:sz w:val="20"/>
                <w:szCs w:val="20"/>
                <w:lang w:val="ru-RU"/>
              </w:rPr>
              <w:t xml:space="preserve"> a consistent system for basic organization and presentation, and stylistic choices</w:t>
            </w:r>
          </w:p>
        </w:tc>
      </w:tr>
      <w:tr w:rsidR="00664E36" w:rsidRPr="00664E36" w:rsidTr="00BF0663">
        <w:trPr>
          <w:trHeight w:val="1263"/>
        </w:trPr>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widowControl w:val="0"/>
              <w:numPr>
                <w:ilvl w:val="0"/>
                <w:numId w:val="29"/>
              </w:numPr>
              <w:suppressAutoHyphens/>
              <w:autoSpaceDN w:val="0"/>
              <w:contextualSpacing/>
              <w:rPr>
                <w:rFonts w:eastAsia="Tahoma" w:cs="Tahoma"/>
                <w:b/>
                <w:i/>
                <w:kern w:val="3"/>
                <w:sz w:val="20"/>
                <w:szCs w:val="20"/>
              </w:rPr>
            </w:pPr>
            <w:proofErr w:type="gramStart"/>
            <w:r w:rsidRPr="00664E36">
              <w:rPr>
                <w:rFonts w:eastAsia="Tahoma" w:cs="Tahoma"/>
                <w:b/>
                <w:i/>
                <w:kern w:val="3"/>
                <w:sz w:val="20"/>
                <w:szCs w:val="20"/>
              </w:rPr>
              <w:t>read</w:t>
            </w:r>
            <w:proofErr w:type="gramEnd"/>
            <w:r w:rsidRPr="00664E36">
              <w:rPr>
                <w:rFonts w:eastAsia="Tahoma" w:cs="Tahoma"/>
                <w:b/>
                <w:i/>
                <w:kern w:val="3"/>
                <w:sz w:val="20"/>
                <w:szCs w:val="20"/>
              </w:rPr>
              <w:t xml:space="preserve"> popular, academic, &amp; professional nonfiction writing analytically and critically.</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Clearly and thoroughly explains, summarizes and integrates</w:t>
            </w:r>
            <w:r w:rsidRPr="00664E36">
              <w:rPr>
                <w:rFonts w:eastAsia="Times New Roman"/>
                <w:kern w:val="3"/>
                <w:sz w:val="20"/>
                <w:szCs w:val="20"/>
              </w:rPr>
              <w:t xml:space="preserve"> the content of readings from a range of disciplines.</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Explains, summarizes and integrates</w:t>
            </w:r>
            <w:r w:rsidRPr="00664E36">
              <w:rPr>
                <w:rFonts w:eastAsia="Times New Roman"/>
                <w:kern w:val="3"/>
                <w:sz w:val="20"/>
                <w:szCs w:val="20"/>
              </w:rPr>
              <w:t xml:space="preserve"> the content of readings from a range of disciplines.</w:t>
            </w:r>
          </w:p>
        </w:tc>
        <w:tc>
          <w:tcPr>
            <w:tcW w:w="0" w:type="auto"/>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Attempts to explain summarize and integrate</w:t>
            </w:r>
            <w:r w:rsidRPr="00664E36">
              <w:rPr>
                <w:rFonts w:eastAsia="Times New Roman"/>
                <w:kern w:val="3"/>
                <w:sz w:val="20"/>
                <w:szCs w:val="20"/>
              </w:rPr>
              <w:t xml:space="preserve"> the content of readings from a range of disciplines.</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64E36" w:rsidRPr="00664E36" w:rsidRDefault="00664E36" w:rsidP="00664E36">
            <w:pPr>
              <w:suppressAutoHyphens/>
              <w:autoSpaceDN w:val="0"/>
              <w:rPr>
                <w:rFonts w:eastAsia="Times New Roman"/>
                <w:kern w:val="3"/>
                <w:sz w:val="20"/>
                <w:szCs w:val="20"/>
              </w:rPr>
            </w:pPr>
            <w:r w:rsidRPr="00664E36">
              <w:rPr>
                <w:rFonts w:eastAsia="Times New Roman"/>
                <w:b/>
                <w:kern w:val="3"/>
                <w:sz w:val="20"/>
                <w:szCs w:val="20"/>
              </w:rPr>
              <w:t xml:space="preserve">Fails to explain, summarize and integrate </w:t>
            </w:r>
            <w:r w:rsidRPr="00664E36">
              <w:rPr>
                <w:rFonts w:eastAsia="Times New Roman"/>
                <w:kern w:val="3"/>
                <w:sz w:val="20"/>
                <w:szCs w:val="20"/>
              </w:rPr>
              <w:t>the content of readings from a range of disciplines.</w:t>
            </w:r>
          </w:p>
        </w:tc>
      </w:tr>
    </w:tbl>
    <w:p w:rsidR="00664E36" w:rsidRPr="003A3963" w:rsidRDefault="00664E36"/>
    <w:sectPr w:rsidR="00664E36" w:rsidRPr="003A3963" w:rsidSect="00664E3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D3" w:rsidRDefault="00A10DD3" w:rsidP="003667C3">
      <w:r>
        <w:separator/>
      </w:r>
    </w:p>
  </w:endnote>
  <w:endnote w:type="continuationSeparator" w:id="0">
    <w:p w:rsidR="00A10DD3" w:rsidRDefault="00A10DD3" w:rsidP="003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D3" w:rsidRDefault="00A10DD3" w:rsidP="003667C3">
      <w:r>
        <w:separator/>
      </w:r>
    </w:p>
  </w:footnote>
  <w:footnote w:type="continuationSeparator" w:id="0">
    <w:p w:rsidR="00A10DD3" w:rsidRDefault="00A10DD3" w:rsidP="0036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62132"/>
      <w:docPartObj>
        <w:docPartGallery w:val="Page Numbers (Top of Page)"/>
        <w:docPartUnique/>
      </w:docPartObj>
    </w:sdtPr>
    <w:sdtEndPr>
      <w:rPr>
        <w:noProof/>
      </w:rPr>
    </w:sdtEndPr>
    <w:sdtContent>
      <w:p w:rsidR="00A10DD3" w:rsidRDefault="00A10DD3">
        <w:pPr>
          <w:pStyle w:val="Header"/>
          <w:jc w:val="right"/>
        </w:pPr>
        <w:r>
          <w:fldChar w:fldCharType="begin"/>
        </w:r>
        <w:r>
          <w:instrText xml:space="preserve"> PAGE   \* MERGEFORMAT </w:instrText>
        </w:r>
        <w:r>
          <w:fldChar w:fldCharType="separate"/>
        </w:r>
        <w:r w:rsidR="002F1024">
          <w:rPr>
            <w:noProof/>
          </w:rPr>
          <w:t>7</w:t>
        </w:r>
        <w:r>
          <w:rPr>
            <w:noProof/>
          </w:rPr>
          <w:fldChar w:fldCharType="end"/>
        </w:r>
      </w:p>
    </w:sdtContent>
  </w:sdt>
  <w:p w:rsidR="00A10DD3" w:rsidRDefault="00A10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750"/>
    <w:multiLevelType w:val="hybridMultilevel"/>
    <w:tmpl w:val="6BE809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16361"/>
    <w:multiLevelType w:val="hybridMultilevel"/>
    <w:tmpl w:val="9E98C4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3036"/>
    <w:multiLevelType w:val="hybridMultilevel"/>
    <w:tmpl w:val="A11E8D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C2B5D"/>
    <w:multiLevelType w:val="hybridMultilevel"/>
    <w:tmpl w:val="ECC01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D04A4D"/>
    <w:multiLevelType w:val="hybridMultilevel"/>
    <w:tmpl w:val="633ED8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F66C3A"/>
    <w:multiLevelType w:val="hybridMultilevel"/>
    <w:tmpl w:val="5A52944A"/>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1E50B1"/>
    <w:multiLevelType w:val="hybridMultilevel"/>
    <w:tmpl w:val="DFC4210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092B6D"/>
    <w:multiLevelType w:val="hybridMultilevel"/>
    <w:tmpl w:val="565A4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9644ED"/>
    <w:multiLevelType w:val="hybridMultilevel"/>
    <w:tmpl w:val="04347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B604C"/>
    <w:multiLevelType w:val="hybridMultilevel"/>
    <w:tmpl w:val="D6C0344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22480F"/>
    <w:multiLevelType w:val="hybridMultilevel"/>
    <w:tmpl w:val="3F1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D02E8"/>
    <w:multiLevelType w:val="hybridMultilevel"/>
    <w:tmpl w:val="793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5092E"/>
    <w:multiLevelType w:val="hybridMultilevel"/>
    <w:tmpl w:val="DD884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C5E73"/>
    <w:multiLevelType w:val="hybridMultilevel"/>
    <w:tmpl w:val="081C99A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B3A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C9B55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0C217B6"/>
    <w:multiLevelType w:val="hybridMultilevel"/>
    <w:tmpl w:val="879CF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625D5"/>
    <w:multiLevelType w:val="hybridMultilevel"/>
    <w:tmpl w:val="28FE19C4"/>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086A3B"/>
    <w:multiLevelType w:val="multilevel"/>
    <w:tmpl w:val="734C9922"/>
    <w:lvl w:ilvl="0">
      <w:start w:val="1"/>
      <w:numFmt w:val="bullet"/>
      <w:lvlText w:val=""/>
      <w:lvlJc w:val="left"/>
      <w:pPr>
        <w:ind w:left="-72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1440" w:hanging="360"/>
      </w:pPr>
      <w:rPr>
        <w:rFonts w:ascii="Wingdings" w:hAnsi="Wingdings" w:hint="default"/>
      </w:rPr>
    </w:lvl>
    <w:lvl w:ilvl="7">
      <w:start w:val="1"/>
      <w:numFmt w:val="bullet"/>
      <w:lvlText w:val=""/>
      <w:lvlJc w:val="left"/>
      <w:pPr>
        <w:ind w:left="1800" w:hanging="360"/>
      </w:pPr>
      <w:rPr>
        <w:rFonts w:ascii="Symbol" w:hAnsi="Symbol" w:hint="default"/>
      </w:rPr>
    </w:lvl>
    <w:lvl w:ilvl="8">
      <w:start w:val="1"/>
      <w:numFmt w:val="bullet"/>
      <w:lvlText w:val=""/>
      <w:lvlJc w:val="left"/>
      <w:pPr>
        <w:ind w:left="2160" w:hanging="360"/>
      </w:pPr>
      <w:rPr>
        <w:rFonts w:ascii="Symbol" w:hAnsi="Symbol" w:hint="default"/>
      </w:rPr>
    </w:lvl>
  </w:abstractNum>
  <w:abstractNum w:abstractNumId="19">
    <w:nsid w:val="4A642A9C"/>
    <w:multiLevelType w:val="hybridMultilevel"/>
    <w:tmpl w:val="9FD4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17DE5"/>
    <w:multiLevelType w:val="hybridMultilevel"/>
    <w:tmpl w:val="F7A403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43528"/>
    <w:multiLevelType w:val="hybridMultilevel"/>
    <w:tmpl w:val="DDBAAD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2E7CF7"/>
    <w:multiLevelType w:val="hybridMultilevel"/>
    <w:tmpl w:val="E05A6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355EF"/>
    <w:multiLevelType w:val="multilevel"/>
    <w:tmpl w:val="FAEA73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51A0B78"/>
    <w:multiLevelType w:val="hybridMultilevel"/>
    <w:tmpl w:val="A080BDF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32C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17C6252"/>
    <w:multiLevelType w:val="hybridMultilevel"/>
    <w:tmpl w:val="85384F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F51BA7"/>
    <w:multiLevelType w:val="hybridMultilevel"/>
    <w:tmpl w:val="2938B8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C630D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76961C5D"/>
    <w:multiLevelType w:val="hybridMultilevel"/>
    <w:tmpl w:val="6E30B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14"/>
  </w:num>
  <w:num w:numId="4">
    <w:abstractNumId w:val="15"/>
  </w:num>
  <w:num w:numId="5">
    <w:abstractNumId w:val="21"/>
  </w:num>
  <w:num w:numId="6">
    <w:abstractNumId w:val="26"/>
  </w:num>
  <w:num w:numId="7">
    <w:abstractNumId w:val="0"/>
  </w:num>
  <w:num w:numId="8">
    <w:abstractNumId w:val="2"/>
  </w:num>
  <w:num w:numId="9">
    <w:abstractNumId w:val="8"/>
  </w:num>
  <w:num w:numId="10">
    <w:abstractNumId w:val="27"/>
  </w:num>
  <w:num w:numId="11">
    <w:abstractNumId w:val="25"/>
  </w:num>
  <w:num w:numId="12">
    <w:abstractNumId w:val="18"/>
  </w:num>
  <w:num w:numId="13">
    <w:abstractNumId w:val="23"/>
  </w:num>
  <w:num w:numId="14">
    <w:abstractNumId w:val="1"/>
  </w:num>
  <w:num w:numId="15">
    <w:abstractNumId w:val="10"/>
  </w:num>
  <w:num w:numId="16">
    <w:abstractNumId w:val="3"/>
  </w:num>
  <w:num w:numId="17">
    <w:abstractNumId w:val="24"/>
  </w:num>
  <w:num w:numId="18">
    <w:abstractNumId w:val="6"/>
  </w:num>
  <w:num w:numId="19">
    <w:abstractNumId w:val="11"/>
  </w:num>
  <w:num w:numId="20">
    <w:abstractNumId w:val="9"/>
  </w:num>
  <w:num w:numId="21">
    <w:abstractNumId w:val="13"/>
  </w:num>
  <w:num w:numId="22">
    <w:abstractNumId w:val="16"/>
  </w:num>
  <w:num w:numId="23">
    <w:abstractNumId w:val="22"/>
  </w:num>
  <w:num w:numId="24">
    <w:abstractNumId w:val="12"/>
  </w:num>
  <w:num w:numId="25">
    <w:abstractNumId w:val="17"/>
  </w:num>
  <w:num w:numId="26">
    <w:abstractNumId w:val="20"/>
  </w:num>
  <w:num w:numId="27">
    <w:abstractNumId w:val="5"/>
  </w:num>
  <w:num w:numId="28">
    <w:abstractNumId w:val="7"/>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56"/>
    <w:rsid w:val="000011E3"/>
    <w:rsid w:val="00004B6B"/>
    <w:rsid w:val="000538F0"/>
    <w:rsid w:val="00085287"/>
    <w:rsid w:val="000864F4"/>
    <w:rsid w:val="00087E9A"/>
    <w:rsid w:val="000A5997"/>
    <w:rsid w:val="000C4933"/>
    <w:rsid w:val="000C7DBA"/>
    <w:rsid w:val="00100229"/>
    <w:rsid w:val="001629EB"/>
    <w:rsid w:val="00166BA1"/>
    <w:rsid w:val="00195D6C"/>
    <w:rsid w:val="001A7861"/>
    <w:rsid w:val="00215370"/>
    <w:rsid w:val="00244E2A"/>
    <w:rsid w:val="002735A7"/>
    <w:rsid w:val="00277F5C"/>
    <w:rsid w:val="002B4733"/>
    <w:rsid w:val="002E0558"/>
    <w:rsid w:val="002F1024"/>
    <w:rsid w:val="002F7E7E"/>
    <w:rsid w:val="003667C3"/>
    <w:rsid w:val="003A38CC"/>
    <w:rsid w:val="003A3963"/>
    <w:rsid w:val="004056A2"/>
    <w:rsid w:val="0043353D"/>
    <w:rsid w:val="004345C0"/>
    <w:rsid w:val="00434759"/>
    <w:rsid w:val="00465ADE"/>
    <w:rsid w:val="004C0F09"/>
    <w:rsid w:val="00521436"/>
    <w:rsid w:val="005332AB"/>
    <w:rsid w:val="005C0C01"/>
    <w:rsid w:val="005C2151"/>
    <w:rsid w:val="005D0EC1"/>
    <w:rsid w:val="0061500F"/>
    <w:rsid w:val="00626CF2"/>
    <w:rsid w:val="006323FC"/>
    <w:rsid w:val="006420A6"/>
    <w:rsid w:val="00664E36"/>
    <w:rsid w:val="00671585"/>
    <w:rsid w:val="006911C2"/>
    <w:rsid w:val="006A77CB"/>
    <w:rsid w:val="006B5D93"/>
    <w:rsid w:val="006D5469"/>
    <w:rsid w:val="00703CA0"/>
    <w:rsid w:val="00750F0E"/>
    <w:rsid w:val="00791590"/>
    <w:rsid w:val="007D2437"/>
    <w:rsid w:val="007F1A89"/>
    <w:rsid w:val="007F7154"/>
    <w:rsid w:val="00817E5F"/>
    <w:rsid w:val="008800F7"/>
    <w:rsid w:val="00891D31"/>
    <w:rsid w:val="009017E0"/>
    <w:rsid w:val="009860AC"/>
    <w:rsid w:val="00995000"/>
    <w:rsid w:val="009B5ED4"/>
    <w:rsid w:val="00A10DD3"/>
    <w:rsid w:val="00A13001"/>
    <w:rsid w:val="00A30F80"/>
    <w:rsid w:val="00AA4D52"/>
    <w:rsid w:val="00AB2B81"/>
    <w:rsid w:val="00B06AAE"/>
    <w:rsid w:val="00B743DB"/>
    <w:rsid w:val="00B90C32"/>
    <w:rsid w:val="00BE722B"/>
    <w:rsid w:val="00BF0663"/>
    <w:rsid w:val="00BF1556"/>
    <w:rsid w:val="00C2247B"/>
    <w:rsid w:val="00C3304A"/>
    <w:rsid w:val="00C82025"/>
    <w:rsid w:val="00C97D8B"/>
    <w:rsid w:val="00CD2A69"/>
    <w:rsid w:val="00D14B17"/>
    <w:rsid w:val="00D25F45"/>
    <w:rsid w:val="00D36D52"/>
    <w:rsid w:val="00D566C8"/>
    <w:rsid w:val="00D651E9"/>
    <w:rsid w:val="00D67018"/>
    <w:rsid w:val="00D863A5"/>
    <w:rsid w:val="00E038D9"/>
    <w:rsid w:val="00E114E8"/>
    <w:rsid w:val="00E240D3"/>
    <w:rsid w:val="00E725CC"/>
    <w:rsid w:val="00EC4C58"/>
    <w:rsid w:val="00EE2694"/>
    <w:rsid w:val="00F2308F"/>
    <w:rsid w:val="00F332D7"/>
    <w:rsid w:val="00F36B46"/>
    <w:rsid w:val="00F74FDC"/>
    <w:rsid w:val="00F82F39"/>
    <w:rsid w:val="00FA084A"/>
    <w:rsid w:val="00FB3D63"/>
    <w:rsid w:val="00F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96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paragraph" w:styleId="BalloonText">
    <w:name w:val="Balloon Text"/>
    <w:basedOn w:val="Normal"/>
    <w:link w:val="BalloonTextChar"/>
    <w:uiPriority w:val="99"/>
    <w:semiHidden/>
    <w:unhideWhenUsed/>
    <w:rsid w:val="0061500F"/>
    <w:rPr>
      <w:rFonts w:ascii="Tahoma" w:hAnsi="Tahoma" w:cs="Tahoma"/>
      <w:sz w:val="16"/>
      <w:szCs w:val="16"/>
    </w:rPr>
  </w:style>
  <w:style w:type="character" w:customStyle="1" w:styleId="BalloonTextChar">
    <w:name w:val="Balloon Text Char"/>
    <w:basedOn w:val="DefaultParagraphFont"/>
    <w:link w:val="BalloonText"/>
    <w:uiPriority w:val="99"/>
    <w:semiHidden/>
    <w:rsid w:val="0061500F"/>
    <w:rPr>
      <w:rFonts w:ascii="Tahoma" w:hAnsi="Tahoma" w:cs="Tahoma"/>
      <w:sz w:val="16"/>
      <w:szCs w:val="16"/>
    </w:rPr>
  </w:style>
  <w:style w:type="table" w:styleId="TableGrid">
    <w:name w:val="Table Grid"/>
    <w:basedOn w:val="TableNormal"/>
    <w:uiPriority w:val="59"/>
    <w:rsid w:val="00615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500F"/>
    <w:pPr>
      <w:spacing w:before="100" w:beforeAutospacing="1" w:after="100" w:afterAutospacing="1"/>
    </w:pPr>
    <w:rPr>
      <w:rFonts w:eastAsia="Times New Roman"/>
    </w:rPr>
  </w:style>
  <w:style w:type="table" w:customStyle="1" w:styleId="TableGrid1">
    <w:name w:val="Table Grid1"/>
    <w:basedOn w:val="TableNormal"/>
    <w:next w:val="TableGrid"/>
    <w:uiPriority w:val="59"/>
    <w:rsid w:val="008800F7"/>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3C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963"/>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paragraph" w:styleId="BalloonText">
    <w:name w:val="Balloon Text"/>
    <w:basedOn w:val="Normal"/>
    <w:link w:val="BalloonTextChar"/>
    <w:uiPriority w:val="99"/>
    <w:semiHidden/>
    <w:unhideWhenUsed/>
    <w:rsid w:val="0061500F"/>
    <w:rPr>
      <w:rFonts w:ascii="Tahoma" w:hAnsi="Tahoma" w:cs="Tahoma"/>
      <w:sz w:val="16"/>
      <w:szCs w:val="16"/>
    </w:rPr>
  </w:style>
  <w:style w:type="character" w:customStyle="1" w:styleId="BalloonTextChar">
    <w:name w:val="Balloon Text Char"/>
    <w:basedOn w:val="DefaultParagraphFont"/>
    <w:link w:val="BalloonText"/>
    <w:uiPriority w:val="99"/>
    <w:semiHidden/>
    <w:rsid w:val="0061500F"/>
    <w:rPr>
      <w:rFonts w:ascii="Tahoma" w:hAnsi="Tahoma" w:cs="Tahoma"/>
      <w:sz w:val="16"/>
      <w:szCs w:val="16"/>
    </w:rPr>
  </w:style>
  <w:style w:type="table" w:styleId="TableGrid">
    <w:name w:val="Table Grid"/>
    <w:basedOn w:val="TableNormal"/>
    <w:uiPriority w:val="59"/>
    <w:rsid w:val="00615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500F"/>
    <w:pPr>
      <w:spacing w:before="100" w:beforeAutospacing="1" w:after="100" w:afterAutospacing="1"/>
    </w:pPr>
    <w:rPr>
      <w:rFonts w:eastAsia="Times New Roman"/>
    </w:rPr>
  </w:style>
  <w:style w:type="table" w:customStyle="1" w:styleId="TableGrid1">
    <w:name w:val="Table Grid1"/>
    <w:basedOn w:val="TableNormal"/>
    <w:next w:val="TableGrid"/>
    <w:uiPriority w:val="59"/>
    <w:rsid w:val="008800F7"/>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3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pickeri@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00FF-41EB-440F-AC54-3592108F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jpickeri</dc:creator>
  <cp:lastModifiedBy>jpickeri</cp:lastModifiedBy>
  <cp:revision>29</cp:revision>
  <cp:lastPrinted>2013-02-20T20:27:00Z</cp:lastPrinted>
  <dcterms:created xsi:type="dcterms:W3CDTF">2013-06-11T21:22:00Z</dcterms:created>
  <dcterms:modified xsi:type="dcterms:W3CDTF">2013-06-19T19:10:00Z</dcterms:modified>
</cp:coreProperties>
</file>